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hanging="0"/>
        <w:jc w:val="center"/>
        <w:rPr>
          <w:b/>
          <w:b/>
          <w:bCs/>
          <w:i/>
          <w:i/>
          <w:iCs/>
          <w:sz w:val="28"/>
          <w:szCs w:val="28"/>
        </w:rPr>
      </w:pPr>
      <w:r>
        <w:rPr>
          <w:b/>
          <w:bCs/>
          <w:i/>
          <w:iCs/>
          <w:sz w:val="28"/>
          <w:szCs w:val="28"/>
        </w:rPr>
      </w:r>
    </w:p>
    <w:p>
      <w:pPr>
        <w:pStyle w:val="Tretekstu"/>
        <w:spacing w:before="0" w:after="0"/>
        <w:ind w:left="360" w:hanging="0"/>
        <w:rPr>
          <w:b/>
          <w:b/>
          <w:bCs/>
          <w:i/>
          <w:i/>
          <w:iCs/>
          <w:sz w:val="28"/>
          <w:szCs w:val="28"/>
        </w:rPr>
      </w:pPr>
      <w:r>
        <w:rPr>
          <w:b/>
          <w:bCs/>
          <w:i/>
          <w:iCs/>
          <w:sz w:val="28"/>
          <w:szCs w:val="28"/>
        </w:rPr>
      </w:r>
    </w:p>
    <w:p>
      <w:pPr>
        <w:pStyle w:val="Tretekstu"/>
        <w:spacing w:before="0" w:after="0"/>
        <w:ind w:left="360" w:hanging="0"/>
        <w:rPr>
          <w:b/>
          <w:b/>
          <w:bCs/>
          <w:i/>
          <w:i/>
          <w:iCs/>
          <w:sz w:val="28"/>
          <w:szCs w:val="28"/>
        </w:rPr>
      </w:pPr>
      <w:r>
        <w:rPr>
          <w:b/>
          <w:bCs/>
          <w:i/>
          <w:iCs/>
          <w:sz w:val="28"/>
          <w:szCs w:val="28"/>
        </w:rPr>
      </w:r>
    </w:p>
    <w:p>
      <w:pPr>
        <w:pStyle w:val="Tretekstu"/>
        <w:spacing w:before="0" w:after="0"/>
        <w:ind w:left="360" w:hanging="0"/>
        <w:rPr>
          <w:rFonts w:ascii="Times New Roman" w:hAnsi="Times New Roman" w:cs="Times New Roman"/>
          <w:b/>
          <w:b/>
          <w:sz w:val="28"/>
          <w:szCs w:val="28"/>
        </w:rPr>
      </w:pPr>
      <w:r>
        <w:rPr>
          <w:rFonts w:cs="Times New Roman" w:ascii="Times New Roman" w:hAnsi="Times New Roman"/>
          <w:b/>
          <w:sz w:val="28"/>
          <w:szCs w:val="28"/>
        </w:rPr>
        <w:drawing>
          <wp:anchor behindDoc="0" distT="0" distB="0" distL="114300" distR="114300" simplePos="0" locked="0" layoutInCell="1" allowOverlap="1" relativeHeight="2">
            <wp:simplePos x="0" y="0"/>
            <wp:positionH relativeFrom="column">
              <wp:posOffset>1805940</wp:posOffset>
            </wp:positionH>
            <wp:positionV relativeFrom="paragraph">
              <wp:posOffset>236220</wp:posOffset>
            </wp:positionV>
            <wp:extent cx="2160270" cy="1739265"/>
            <wp:effectExtent l="0" t="0" r="0" b="0"/>
            <wp:wrapSquare wrapText="bothSides"/>
            <wp:docPr id="1"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
                    <pic:cNvPicPr>
                      <a:picLocks noChangeAspect="1" noChangeArrowheads="1"/>
                    </pic:cNvPicPr>
                  </pic:nvPicPr>
                  <pic:blipFill>
                    <a:blip r:embed="rId2"/>
                    <a:stretch>
                      <a:fillRect/>
                    </a:stretch>
                  </pic:blipFill>
                  <pic:spPr bwMode="auto">
                    <a:xfrm>
                      <a:off x="0" y="0"/>
                      <a:ext cx="2160270" cy="1739265"/>
                    </a:xfrm>
                    <a:prstGeom prst="rect">
                      <a:avLst/>
                    </a:prstGeom>
                  </pic:spPr>
                </pic:pic>
              </a:graphicData>
            </a:graphic>
          </wp:anchor>
        </w:drawing>
      </w:r>
    </w:p>
    <w:p>
      <w:pPr>
        <w:pStyle w:val="Normal"/>
        <w:jc w:val="center"/>
        <w:rPr>
          <w:rFonts w:ascii="Tahoma" w:hAnsi="Tahoma" w:eastAsia="Times New Roman" w:cs="Tahoma"/>
          <w:b/>
          <w:b/>
          <w:i/>
          <w:i/>
          <w:sz w:val="52"/>
          <w:szCs w:val="52"/>
          <w:lang w:eastAsia="pl-PL"/>
        </w:rPr>
      </w:pPr>
      <w:r>
        <w:rPr>
          <w:rFonts w:eastAsia="Times New Roman" w:cs="Tahoma" w:ascii="Tahoma" w:hAnsi="Tahoma"/>
          <w:b/>
          <w:i/>
          <w:sz w:val="52"/>
          <w:szCs w:val="52"/>
          <w:lang w:eastAsia="pl-PL"/>
        </w:rPr>
      </w:r>
    </w:p>
    <w:p>
      <w:pPr>
        <w:pStyle w:val="Normal"/>
        <w:jc w:val="center"/>
        <w:rPr>
          <w:rFonts w:ascii="Tahoma" w:hAnsi="Tahoma" w:eastAsia="Times New Roman" w:cs="Tahoma"/>
          <w:b/>
          <w:b/>
          <w:i/>
          <w:i/>
          <w:sz w:val="52"/>
          <w:szCs w:val="52"/>
          <w:lang w:eastAsia="pl-PL"/>
        </w:rPr>
      </w:pPr>
      <w:r>
        <w:rPr>
          <w:rFonts w:eastAsia="Times New Roman" w:cs="Tahoma" w:ascii="Tahoma" w:hAnsi="Tahoma"/>
          <w:b/>
          <w:i/>
          <w:sz w:val="52"/>
          <w:szCs w:val="52"/>
          <w:lang w:eastAsia="pl-PL"/>
        </w:rPr>
      </w:r>
    </w:p>
    <w:p>
      <w:pPr>
        <w:pStyle w:val="Normal"/>
        <w:jc w:val="center"/>
        <w:rPr>
          <w:rFonts w:ascii="Tahoma" w:hAnsi="Tahoma" w:eastAsia="Times New Roman" w:cs="Tahoma"/>
          <w:b/>
          <w:b/>
          <w:i/>
          <w:i/>
          <w:sz w:val="52"/>
          <w:szCs w:val="52"/>
          <w:lang w:eastAsia="pl-PL"/>
        </w:rPr>
      </w:pPr>
      <w:r>
        <w:rPr>
          <w:rFonts w:eastAsia="Times New Roman" w:cs="Tahoma" w:ascii="Tahoma" w:hAnsi="Tahoma"/>
          <w:b/>
          <w:i/>
          <w:sz w:val="52"/>
          <w:szCs w:val="52"/>
          <w:lang w:eastAsia="pl-PL"/>
        </w:rPr>
      </w:r>
    </w:p>
    <w:p>
      <w:pPr>
        <w:pStyle w:val="Normal"/>
        <w:jc w:val="center"/>
        <w:rPr>
          <w:rFonts w:ascii="Tahoma" w:hAnsi="Tahoma" w:eastAsia="Times New Roman" w:cs="Tahoma"/>
          <w:b/>
          <w:b/>
          <w:i/>
          <w:i/>
          <w:sz w:val="52"/>
          <w:szCs w:val="52"/>
          <w:lang w:eastAsia="pl-PL"/>
        </w:rPr>
      </w:pPr>
      <w:r>
        <w:rPr>
          <w:rFonts w:eastAsia="Times New Roman" w:cs="Tahoma" w:ascii="Tahoma" w:hAnsi="Tahoma"/>
          <w:b/>
          <w:i/>
          <w:sz w:val="52"/>
          <w:szCs w:val="52"/>
          <w:lang w:eastAsia="pl-PL"/>
        </w:rPr>
      </w:r>
    </w:p>
    <w:p>
      <w:pPr>
        <w:pStyle w:val="Normal"/>
        <w:jc w:val="center"/>
        <w:rPr>
          <w:rFonts w:ascii="Arial Narrow" w:hAnsi="Arial Narrow" w:eastAsia="Times New Roman" w:cs="Tahoma"/>
          <w:b/>
          <w:b/>
          <w:i/>
          <w:i/>
          <w:sz w:val="52"/>
          <w:szCs w:val="52"/>
          <w:lang w:eastAsia="pl-PL"/>
        </w:rPr>
      </w:pPr>
      <w:r>
        <w:rPr>
          <w:rFonts w:eastAsia="Times New Roman" w:cs="Tahoma" w:ascii="Arial Narrow" w:hAnsi="Arial Narrow"/>
          <w:b/>
          <w:i/>
          <w:sz w:val="52"/>
          <w:szCs w:val="52"/>
          <w:lang w:eastAsia="pl-PL"/>
        </w:rPr>
        <w:t>GMINNY PROGRAM WSPIERANIA RODZINY</w:t>
      </w:r>
    </w:p>
    <w:p>
      <w:pPr>
        <w:pStyle w:val="Normal"/>
        <w:jc w:val="center"/>
        <w:rPr>
          <w:rFonts w:ascii="Arial Narrow" w:hAnsi="Arial Narrow" w:eastAsia="Times New Roman" w:cs="Tahoma"/>
          <w:b/>
          <w:b/>
          <w:sz w:val="52"/>
          <w:szCs w:val="52"/>
          <w:lang w:eastAsia="pl-PL"/>
        </w:rPr>
      </w:pPr>
      <w:r>
        <w:rPr>
          <w:rFonts w:eastAsia="Times New Roman" w:cs="Tahoma" w:ascii="Arial Narrow" w:hAnsi="Arial Narrow"/>
          <w:b/>
          <w:sz w:val="52"/>
          <w:szCs w:val="52"/>
          <w:lang w:eastAsia="pl-PL"/>
        </w:rPr>
      </w:r>
    </w:p>
    <w:p>
      <w:pPr>
        <w:pStyle w:val="Normal"/>
        <w:jc w:val="center"/>
        <w:rPr>
          <w:rFonts w:ascii="Arial Narrow" w:hAnsi="Arial Narrow" w:eastAsia="Times New Roman" w:cs="Tahoma"/>
          <w:b/>
          <w:b/>
          <w:i/>
          <w:i/>
          <w:sz w:val="52"/>
          <w:szCs w:val="52"/>
          <w:lang w:eastAsia="pl-PL"/>
        </w:rPr>
      </w:pPr>
      <w:r>
        <w:rPr>
          <w:rFonts w:eastAsia="Times New Roman" w:cs="Tahoma" w:ascii="Arial Narrow" w:hAnsi="Arial Narrow"/>
          <w:b/>
          <w:i/>
          <w:sz w:val="52"/>
          <w:szCs w:val="52"/>
          <w:lang w:eastAsia="pl-PL"/>
        </w:rPr>
        <w:t>Gminy Lidzbark Warmiński</w:t>
      </w:r>
    </w:p>
    <w:p>
      <w:pPr>
        <w:pStyle w:val="Normal"/>
        <w:jc w:val="center"/>
        <w:rPr>
          <w:rFonts w:ascii="Arial Narrow" w:hAnsi="Arial Narrow" w:eastAsia="Times New Roman" w:cs="Tahoma"/>
          <w:b/>
          <w:b/>
          <w:i/>
          <w:i/>
          <w:sz w:val="52"/>
          <w:szCs w:val="52"/>
          <w:lang w:eastAsia="pl-PL"/>
        </w:rPr>
      </w:pPr>
      <w:r>
        <w:rPr>
          <w:rFonts w:eastAsia="Times New Roman" w:cs="Tahoma" w:ascii="Arial Narrow" w:hAnsi="Arial Narrow"/>
          <w:b/>
          <w:i/>
          <w:sz w:val="52"/>
          <w:szCs w:val="52"/>
          <w:lang w:eastAsia="pl-PL"/>
        </w:rPr>
      </w:r>
    </w:p>
    <w:p>
      <w:pPr>
        <w:pStyle w:val="Normal"/>
        <w:jc w:val="center"/>
        <w:rPr>
          <w:rFonts w:ascii="Arial Narrow" w:hAnsi="Arial Narrow" w:eastAsia="Times New Roman" w:cs="Tahoma"/>
          <w:b/>
          <w:b/>
          <w:i/>
          <w:i/>
          <w:sz w:val="52"/>
          <w:szCs w:val="52"/>
          <w:lang w:eastAsia="pl-PL"/>
        </w:rPr>
      </w:pPr>
      <w:r>
        <w:rPr>
          <w:rFonts w:eastAsia="Times New Roman" w:cs="Tahoma" w:ascii="Arial Narrow" w:hAnsi="Arial Narrow"/>
          <w:b/>
          <w:i/>
          <w:sz w:val="52"/>
          <w:szCs w:val="52"/>
          <w:lang w:eastAsia="pl-PL"/>
        </w:rPr>
        <w:t>na lata 2018 - 2020</w:t>
      </w:r>
    </w:p>
    <w:p>
      <w:pPr>
        <w:pStyle w:val="Normal"/>
        <w:rPr>
          <w:rFonts w:ascii="Arial Narrow" w:hAnsi="Arial Narrow" w:eastAsia="Times New Roman" w:cs="Tahoma"/>
          <w:i/>
          <w:i/>
          <w:sz w:val="24"/>
          <w:szCs w:val="24"/>
          <w:lang w:eastAsia="pl-PL"/>
        </w:rPr>
      </w:pPr>
      <w:r>
        <w:rPr>
          <w:rFonts w:eastAsia="Times New Roman" w:cs="Tahoma" w:ascii="Arial Narrow" w:hAnsi="Arial Narrow"/>
          <w:i/>
          <w:sz w:val="24"/>
          <w:szCs w:val="24"/>
          <w:lang w:eastAsia="pl-PL"/>
        </w:rPr>
      </w:r>
    </w:p>
    <w:p>
      <w:pPr>
        <w:pStyle w:val="Normal"/>
        <w:rPr>
          <w:rFonts w:ascii="Arial Narrow" w:hAnsi="Arial Narrow" w:eastAsia="Times New Roman" w:cs="Tahoma"/>
          <w:sz w:val="24"/>
          <w:szCs w:val="24"/>
          <w:lang w:eastAsia="pl-PL"/>
        </w:rPr>
      </w:pPr>
      <w:r>
        <w:rPr>
          <w:rFonts w:eastAsia="Times New Roman" w:cs="Tahoma" w:ascii="Arial Narrow" w:hAnsi="Arial Narrow"/>
          <w:sz w:val="24"/>
          <w:szCs w:val="24"/>
          <w:lang w:eastAsia="pl-PL"/>
        </w:rPr>
      </w:r>
    </w:p>
    <w:p>
      <w:pPr>
        <w:pStyle w:val="Normal"/>
        <w:rPr>
          <w:rFonts w:ascii="Arial Narrow" w:hAnsi="Arial Narrow" w:eastAsia="Times New Roman" w:cs="Tahoma"/>
          <w:sz w:val="24"/>
          <w:szCs w:val="24"/>
          <w:lang w:eastAsia="pl-PL"/>
        </w:rPr>
      </w:pPr>
      <w:r>
        <w:rPr>
          <w:rFonts w:eastAsia="Times New Roman" w:cs="Tahoma" w:ascii="Arial Narrow" w:hAnsi="Arial Narrow"/>
          <w:sz w:val="24"/>
          <w:szCs w:val="24"/>
          <w:lang w:eastAsia="pl-PL"/>
        </w:rPr>
      </w:r>
    </w:p>
    <w:p>
      <w:pPr>
        <w:pStyle w:val="Normal"/>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r>
    </w:p>
    <w:p>
      <w:pPr>
        <w:pStyle w:val="Normal"/>
        <w:spacing w:lineRule="auto" w:line="240" w:beforeAutospacing="1" w:afterAutospacing="1"/>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240" w:beforeAutospacing="1" w:afterAutospacing="1"/>
        <w:jc w:val="both"/>
        <w:rPr/>
      </w:pPr>
      <w:r>
        <w:rPr>
          <w:rFonts w:eastAsia="Times New Roman" w:cs="Times New Roman" w:ascii="Arial Narrow" w:hAnsi="Arial Narrow"/>
          <w:b/>
          <w:sz w:val="28"/>
          <w:szCs w:val="28"/>
          <w:lang w:eastAsia="pl-PL"/>
        </w:rPr>
        <w:t>I. Wstęp</w:t>
      </w:r>
    </w:p>
    <w:p>
      <w:pPr>
        <w:pStyle w:val="ListParagraph"/>
        <w:numPr>
          <w:ilvl w:val="0"/>
          <w:numId w:val="3"/>
        </w:numPr>
        <w:spacing w:lineRule="auto" w:line="240" w:beforeAutospacing="1" w:afterAutospacing="1"/>
        <w:jc w:val="both"/>
        <w:rPr>
          <w:rFonts w:ascii="Arial Narrow" w:hAnsi="Arial Narrow" w:eastAsia="Times New Roman" w:cs="Times New Roman"/>
          <w:sz w:val="26"/>
          <w:szCs w:val="26"/>
          <w:lang w:eastAsia="pl-PL"/>
        </w:rPr>
      </w:pPr>
      <w:r>
        <w:rPr>
          <w:rFonts w:cs="Times New Roman" w:ascii="Arial Narrow" w:hAnsi="Arial Narrow"/>
          <w:b/>
          <w:sz w:val="26"/>
          <w:szCs w:val="26"/>
        </w:rPr>
        <w:t>Wprowadzenie</w:t>
      </w:r>
      <w:r>
        <w:rPr>
          <w:rFonts w:eastAsia="Times New Roman" w:cs="Times New Roman" w:ascii="Arial Narrow" w:hAnsi="Arial Narrow"/>
          <w:sz w:val="26"/>
          <w:szCs w:val="26"/>
          <w:lang w:eastAsia="pl-PL"/>
        </w:rPr>
        <w:t xml:space="preserve"> </w:t>
      </w:r>
    </w:p>
    <w:p>
      <w:pPr>
        <w:pStyle w:val="Normal"/>
        <w:spacing w:lineRule="auto" w:line="240" w:beforeAutospacing="1" w:afterAutospacing="1"/>
        <w:jc w:val="both"/>
        <w:rPr>
          <w:rFonts w:ascii="Arial Narrow" w:hAnsi="Arial Narrow" w:cs="Times New Roman"/>
          <w:color w:val="000000"/>
          <w:sz w:val="24"/>
          <w:szCs w:val="24"/>
        </w:rPr>
      </w:pPr>
      <w:r>
        <w:rPr>
          <w:rFonts w:eastAsia="Times New Roman" w:cs="Times New Roman" w:ascii="Arial Narrow" w:hAnsi="Arial Narrow"/>
          <w:sz w:val="24"/>
          <w:szCs w:val="24"/>
          <w:lang w:eastAsia="pl-PL"/>
        </w:rPr>
        <w:t>Gminny Program Wspierania Rodziny na lata 2018-2020 stanowi samodzielny program, służący wspieraniu rodziny przeżywającej trudności w wypełnianiu funkcji opiekuńczo-wychowawczych.                    Rodzina stanowi integralną część społeczeństwa, stanowi jego najmniejszą, a zarazem podstawową komórkę. Rodzina jest pierwszym  i podstawowym środowiskiem wychowawczym dziecka. To w rodzinie dziecko  zdobywa wiedzę  o otaczającym je świecie, panujących między ludźmi stosunkach. Uczy się wyrażać swoje uczucia (lęk, obawa, zadowolenie, gniew) oraz wartościowania co jest dobre, a co złe. Wychowują się w niej kolejne pokolenia, które w późniejszym okresie swojego życia kreują społeczeństwo. Rodzina kształtuje osobowość młodego pokolenia, postawę społeczną  i wyznacza koleje jego losu. Dlatego tak ważne jest zachowanie prawidłowych ról społecznych. Tylko „zdrowa” rodzina jest warunkiem wykreowania młodego pokolenia, które będzie miało poczucie własnej wartości, aspiracji, empatii jak również będzie bazą do budowania kolejnej prawidłowo funkcjonującej najmniejszej komórki społecznej.</w:t>
      </w:r>
      <w:r>
        <w:rPr>
          <w:rFonts w:cs="Times New Roman" w:ascii="Arial Narrow" w:hAnsi="Arial Narrow"/>
          <w:color w:val="000000"/>
          <w:sz w:val="24"/>
          <w:szCs w:val="24"/>
        </w:rPr>
        <w:t xml:space="preserve"> </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Nie wszystkie jednak rodziny prawidłowo realizują obowiązki opiekuńcze, wychowawcze, socjalizacyjne, edukacyjne i ekonomiczne. W rodzinach dysfunkcyjnych występują problemy, które zakłócają ich funkcjonowanie, zaburzają prawidłowy rozwój dziecka i cały proces wychowawczy.</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Trudności opiekuńczo-wychowawcze w rodzinie mogą być spowodowane:</w:t>
      </w:r>
    </w:p>
    <w:p>
      <w:pPr>
        <w:pStyle w:val="Normal"/>
        <w:spacing w:lineRule="auto" w:line="240" w:before="0" w:after="0"/>
        <w:jc w:val="both"/>
        <w:rPr>
          <w:rFonts w:ascii="Arial Narrow" w:hAnsi="Arial Narrow"/>
          <w:color w:val="000000"/>
          <w:sz w:val="24"/>
          <w:szCs w:val="24"/>
        </w:rPr>
      </w:pPr>
      <w:r>
        <w:rPr>
          <w:rFonts w:ascii="Arial Narrow" w:hAnsi="Arial Narrow"/>
          <w:color w:val="000000"/>
          <w:sz w:val="24"/>
          <w:szCs w:val="24"/>
        </w:rPr>
        <w:t>1) czynnikami wewnętrznymi, a więc tkwiącymi w rodzinie, tj. uzależnieniami, przemocą, przestępczością, błędami wychowawczymi, brakiem kompetencji wychowawczych, zaniedbywaniem obowiązków, rozpadem rodziny, itp.</w:t>
      </w:r>
    </w:p>
    <w:p>
      <w:pPr>
        <w:pStyle w:val="Normal"/>
        <w:spacing w:lineRule="auto" w:line="240" w:before="0" w:after="0"/>
        <w:jc w:val="both"/>
        <w:rPr>
          <w:rFonts w:ascii="Arial Narrow" w:hAnsi="Arial Narrow" w:eastAsia="Times New Roman" w:cs="Times New Roman"/>
          <w:sz w:val="24"/>
          <w:szCs w:val="24"/>
          <w:lang w:eastAsia="pl-PL"/>
        </w:rPr>
      </w:pPr>
      <w:r>
        <w:rPr>
          <w:rFonts w:ascii="Arial Narrow" w:hAnsi="Arial Narrow"/>
          <w:color w:val="000000"/>
          <w:sz w:val="24"/>
          <w:szCs w:val="24"/>
        </w:rPr>
        <w:t xml:space="preserve">2) czynnikami zewnętrznymi, np. bezrobociem i brakiem miejsc pracy, złym wpływem środowiska, itp.      O rodzinach takich mówi się potocznie, że są </w:t>
      </w:r>
      <w:r>
        <w:rPr>
          <w:rFonts w:cs="Times New Roman" w:ascii="Arial Narrow" w:hAnsi="Arial Narrow"/>
          <w:b/>
          <w:i/>
          <w:iCs/>
          <w:color w:val="000000"/>
          <w:sz w:val="24"/>
          <w:szCs w:val="24"/>
        </w:rPr>
        <w:t xml:space="preserve"> niewydolne wychowawczo lub patologiczne. </w:t>
      </w:r>
      <w:r>
        <w:rPr>
          <w:rFonts w:cs="Times New Roman" w:ascii="Arial Narrow" w:hAnsi="Arial Narrow"/>
          <w:iCs/>
          <w:color w:val="000000"/>
          <w:sz w:val="24"/>
          <w:szCs w:val="24"/>
        </w:rPr>
        <w:t>Ni</w:t>
      </w:r>
      <w:r>
        <w:rPr>
          <w:rFonts w:eastAsia="Times New Roman" w:cs="Times New Roman" w:ascii="Arial Narrow" w:hAnsi="Arial Narrow"/>
          <w:sz w:val="24"/>
          <w:szCs w:val="24"/>
          <w:lang w:eastAsia="pl-PL"/>
        </w:rPr>
        <w:t>ewydolność wychowawcza, zanikanie poczucia bezpieczeństwa, narastanie konfliktów powodują wzrost zjawisk negatywnych, które wymagają ingerencji z zewnątrz angażując siły i środki społeczne. Długoletnie przebywanie rodziny w sytuacji kryzysowej może spowodować całkowite zerwanie więzi rodzinnych i umieszczenie dzieci w pieczy zastępczej. Mając na względzie fakt, że rodzina biologiczna jest najbardziej sprzyjającą  w prawidłowym rozwoju dziecka należy zadbać o to, aby ono jak najdłużej                w niej pozostało. Dlatego należy wspierać rodzinę, aby prawidłowo wykonywała swoje funkcje. Należy podjąć pracę z rodziną w jej najbliższym otoczeniu i w różnorodnych formach środowiskowych bez potrzeby odrywania dziecka od rodziny. Wszelkie działania powinny być prowadzone za zgodą rodziny                i jej aktywnym zaangażowaniem, uwzględniając zasadę pomocniczości. Chodzi tutaj  o obustronny wysiłek zarówno członków rodziny jak i pracowników instytucji pomocy społecznej  ( pracownik socjalny, asystent rodziny) oraz innych instytucji wspierających rodziny, zmierzający do przywrócenia naturalnych więzów i normalizacji życia rodzinnego. W swoich działaniach pracownicy socjalni, asystenci rodziny oraz inni specjaliści mają za zadanie wspieranie i wspomaganie, a nie zastępowanie rodziców w wypełnianiu ich funkcji opiekuńczo – wychowawczych.</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r>
    </w:p>
    <w:p>
      <w:pPr>
        <w:pStyle w:val="ListParagraph"/>
        <w:numPr>
          <w:ilvl w:val="0"/>
          <w:numId w:val="3"/>
        </w:numPr>
        <w:spacing w:lineRule="auto" w:line="360"/>
        <w:jc w:val="both"/>
        <w:rPr>
          <w:rFonts w:ascii="Arial Narrow" w:hAnsi="Arial Narrow" w:eastAsia="Calibri" w:cs="Times New Roman"/>
          <w:b/>
          <w:b/>
          <w:sz w:val="26"/>
          <w:szCs w:val="26"/>
        </w:rPr>
      </w:pPr>
      <w:r>
        <w:rPr>
          <w:rFonts w:eastAsia="Calibri" w:cs="Times New Roman" w:ascii="Arial Narrow" w:hAnsi="Arial Narrow"/>
          <w:b/>
          <w:sz w:val="26"/>
          <w:szCs w:val="26"/>
        </w:rPr>
        <w:t xml:space="preserve">Uwarunkowania prawne  realizacji programu </w:t>
      </w:r>
    </w:p>
    <w:p>
      <w:pPr>
        <w:pStyle w:val="Normal"/>
        <w:spacing w:lineRule="auto" w:line="240"/>
        <w:jc w:val="both"/>
        <w:rPr>
          <w:rFonts w:ascii="Arial Narrow" w:hAnsi="Arial Narrow" w:eastAsia="Calibri" w:cs="Times New Roman"/>
          <w:sz w:val="24"/>
          <w:szCs w:val="24"/>
        </w:rPr>
      </w:pPr>
      <w:r>
        <w:rPr>
          <w:rFonts w:eastAsia="Calibri" w:cs="Times New Roman" w:ascii="Arial Narrow" w:hAnsi="Arial Narrow"/>
          <w:sz w:val="24"/>
          <w:szCs w:val="24"/>
        </w:rPr>
        <w:t>Zadania przyjęte do realizacji, w ramach niniejszego Programu są spójne z aktami prawnymi wynikającymi z:</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color w:val="000000"/>
          <w:sz w:val="24"/>
          <w:szCs w:val="24"/>
          <w:lang w:eastAsia="pl-PL"/>
        </w:rPr>
        <w:t xml:space="preserve">ustawy z dna 9 czerwca 2011r. </w:t>
      </w:r>
      <w:r>
        <w:rPr>
          <w:rFonts w:eastAsia="Times New Roman" w:cs="Times New Roman" w:ascii="Arial Narrow" w:hAnsi="Arial Narrow"/>
          <w:b/>
          <w:color w:val="000000"/>
          <w:sz w:val="24"/>
          <w:szCs w:val="24"/>
          <w:lang w:eastAsia="pl-PL"/>
        </w:rPr>
        <w:t>o wspieraniu rodziny i systemie pieczy zastępczej</w:t>
      </w:r>
      <w:r>
        <w:rPr>
          <w:rFonts w:eastAsia="Times New Roman" w:cs="Times New Roman" w:ascii="Arial Narrow" w:hAnsi="Arial Narrow"/>
          <w:color w:val="000000"/>
          <w:sz w:val="24"/>
          <w:szCs w:val="24"/>
          <w:lang w:eastAsia="pl-PL"/>
        </w:rPr>
        <w:t xml:space="preserve">   </w:t>
      </w:r>
      <w:r>
        <w:rPr>
          <w:rFonts w:eastAsia="Times New Roman" w:cs="Times New Roman" w:ascii="Arial Narrow" w:hAnsi="Arial Narrow"/>
          <w:sz w:val="24"/>
          <w:szCs w:val="24"/>
          <w:lang w:eastAsia="pl-PL"/>
        </w:rPr>
        <w:t>(tj. Dz. U. z 2017r.  poz. 697 ze zm.)</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12 marca 2004r. </w:t>
      </w:r>
      <w:r>
        <w:rPr>
          <w:rFonts w:eastAsia="Times New Roman" w:cs="Times New Roman" w:ascii="Arial Narrow" w:hAnsi="Arial Narrow"/>
          <w:b/>
          <w:sz w:val="24"/>
          <w:szCs w:val="24"/>
          <w:lang w:eastAsia="pl-PL"/>
        </w:rPr>
        <w:t>o pomocy społecznej</w:t>
      </w:r>
      <w:r>
        <w:rPr>
          <w:rFonts w:eastAsia="Times New Roman" w:cs="Times New Roman" w:ascii="Arial Narrow" w:hAnsi="Arial Narrow"/>
          <w:sz w:val="24"/>
          <w:szCs w:val="24"/>
          <w:lang w:eastAsia="pl-PL"/>
        </w:rPr>
        <w:t xml:space="preserve"> (tj. Dz. U. z 2017r. poz. 1769)</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29 lipca 2005r. </w:t>
      </w:r>
      <w:r>
        <w:rPr>
          <w:rFonts w:eastAsia="Times New Roman" w:cs="Times New Roman" w:ascii="Arial Narrow" w:hAnsi="Arial Narrow"/>
          <w:b/>
          <w:sz w:val="24"/>
          <w:szCs w:val="24"/>
          <w:lang w:eastAsia="pl-PL"/>
        </w:rPr>
        <w:t>o przeciwdziałaniu przemocy w rodzinie</w:t>
      </w:r>
      <w:r>
        <w:rPr>
          <w:rFonts w:eastAsia="Times New Roman" w:cs="Times New Roman" w:ascii="Arial Narrow" w:hAnsi="Arial Narrow"/>
          <w:sz w:val="24"/>
          <w:szCs w:val="24"/>
          <w:lang w:eastAsia="pl-PL"/>
        </w:rPr>
        <w:t xml:space="preserve"> (Dz. U.  z 2015r. poz. 1390)</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19 sierpnia 1994r. </w:t>
      </w:r>
      <w:r>
        <w:rPr>
          <w:rFonts w:eastAsia="Times New Roman" w:cs="Times New Roman" w:ascii="Arial Narrow" w:hAnsi="Arial Narrow"/>
          <w:b/>
          <w:sz w:val="24"/>
          <w:szCs w:val="24"/>
          <w:lang w:eastAsia="pl-PL"/>
        </w:rPr>
        <w:t>o ochronie zdrowia psychicznego</w:t>
      </w:r>
      <w:r>
        <w:rPr>
          <w:rFonts w:eastAsia="Times New Roman" w:cs="Times New Roman" w:ascii="Arial Narrow" w:hAnsi="Arial Narrow"/>
          <w:sz w:val="24"/>
          <w:szCs w:val="24"/>
          <w:lang w:eastAsia="pl-PL"/>
        </w:rPr>
        <w:t xml:space="preserve"> (tj. Dz. U.  z 2017r.  poz. 882)</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27 sierpnia 2004r. </w:t>
      </w:r>
      <w:r>
        <w:rPr>
          <w:rFonts w:eastAsia="Times New Roman" w:cs="Times New Roman" w:ascii="Arial Narrow" w:hAnsi="Arial Narrow"/>
          <w:b/>
          <w:sz w:val="24"/>
          <w:szCs w:val="24"/>
          <w:lang w:eastAsia="pl-PL"/>
        </w:rPr>
        <w:t xml:space="preserve">o świadczeniach opieki zdrowotnej </w:t>
      </w:r>
      <w:r>
        <w:rPr>
          <w:rFonts w:eastAsia="Times New Roman" w:cs="Times New Roman" w:ascii="Arial Narrow" w:hAnsi="Arial Narrow"/>
          <w:sz w:val="24"/>
          <w:szCs w:val="24"/>
          <w:lang w:eastAsia="pl-PL"/>
        </w:rPr>
        <w:t>finansowanych ze środków publicznych (Dz. U. z 2016r. poz. 1793 ze zm.)</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13 października 1998r. </w:t>
      </w:r>
      <w:r>
        <w:rPr>
          <w:rFonts w:eastAsia="Times New Roman" w:cs="Times New Roman" w:ascii="Arial Narrow" w:hAnsi="Arial Narrow"/>
          <w:b/>
          <w:sz w:val="24"/>
          <w:szCs w:val="24"/>
          <w:lang w:eastAsia="pl-PL"/>
        </w:rPr>
        <w:t>o systemie ubezpieczeń społecznych</w:t>
      </w:r>
      <w:r>
        <w:rPr>
          <w:rFonts w:eastAsia="Times New Roman" w:cs="Times New Roman" w:ascii="Arial Narrow" w:hAnsi="Arial Narrow"/>
          <w:sz w:val="24"/>
          <w:szCs w:val="24"/>
          <w:lang w:eastAsia="pl-PL"/>
        </w:rPr>
        <w:t xml:space="preserve"> (Dz. U. z 2016r. poz. 963 ze zm.)</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26 października 1982r. </w:t>
      </w:r>
      <w:r>
        <w:rPr>
          <w:rFonts w:eastAsia="Times New Roman" w:cs="Times New Roman" w:ascii="Arial Narrow" w:hAnsi="Arial Narrow"/>
          <w:b/>
          <w:sz w:val="24"/>
          <w:szCs w:val="24"/>
          <w:lang w:eastAsia="pl-PL"/>
        </w:rPr>
        <w:t>o wychowaniu w trzeźwości</w:t>
      </w:r>
      <w:r>
        <w:rPr>
          <w:rFonts w:eastAsia="Times New Roman" w:cs="Times New Roman" w:ascii="Arial Narrow" w:hAnsi="Arial Narrow"/>
          <w:sz w:val="24"/>
          <w:szCs w:val="24"/>
          <w:lang w:eastAsia="pl-PL"/>
        </w:rPr>
        <w:t xml:space="preserve">  i przeciwdziałaniu alkoholizmowi (Dz. U. z 2016r. poz. 487 ze zm.)</w:t>
      </w:r>
    </w:p>
    <w:p>
      <w:pPr>
        <w:pStyle w:val="Normal"/>
        <w:widowControl w:val="false"/>
        <w:numPr>
          <w:ilvl w:val="0"/>
          <w:numId w:val="4"/>
        </w:numPr>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29 lipca 2005r. </w:t>
      </w:r>
      <w:r>
        <w:rPr>
          <w:rFonts w:eastAsia="Times New Roman" w:cs="Times New Roman" w:ascii="Arial Narrow" w:hAnsi="Arial Narrow"/>
          <w:b/>
          <w:sz w:val="24"/>
          <w:szCs w:val="24"/>
          <w:lang w:eastAsia="pl-PL"/>
        </w:rPr>
        <w:t>o przeciwdziałaniu narkomanii</w:t>
      </w:r>
      <w:r>
        <w:rPr>
          <w:rFonts w:eastAsia="Times New Roman" w:cs="Times New Roman" w:ascii="Arial Narrow" w:hAnsi="Arial Narrow"/>
          <w:sz w:val="24"/>
          <w:szCs w:val="24"/>
          <w:lang w:eastAsia="pl-PL"/>
        </w:rPr>
        <w:t xml:space="preserve"> (Dz. U. z 2017r. poz. 783 ze zm.)</w:t>
      </w:r>
    </w:p>
    <w:p>
      <w:pPr>
        <w:pStyle w:val="Normal"/>
        <w:widowControl w:val="false"/>
        <w:numPr>
          <w:ilvl w:val="0"/>
          <w:numId w:val="4"/>
        </w:numPr>
        <w:suppressAutoHyphens w:val="true"/>
        <w:spacing w:lineRule="auto" w:line="240" w:before="0" w:after="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ustawy z dnia 20 kwietnia 2004r. </w:t>
      </w:r>
      <w:r>
        <w:rPr>
          <w:rFonts w:eastAsia="Times New Roman" w:cs="Times New Roman" w:ascii="Arial Narrow" w:hAnsi="Arial Narrow"/>
          <w:b/>
          <w:sz w:val="24"/>
          <w:szCs w:val="24"/>
          <w:lang w:eastAsia="pl-PL"/>
        </w:rPr>
        <w:t>o promocji zatrudnienia</w:t>
      </w:r>
      <w:r>
        <w:rPr>
          <w:rFonts w:eastAsia="Times New Roman" w:cs="Times New Roman" w:ascii="Arial Narrow" w:hAnsi="Arial Narrow"/>
          <w:sz w:val="24"/>
          <w:szCs w:val="24"/>
          <w:lang w:eastAsia="pl-PL"/>
        </w:rPr>
        <w:t xml:space="preserve">  i instytucjach rynku pracy (Dz. U. z 2017r. poz. 1065 ze zm.)</w:t>
      </w:r>
    </w:p>
    <w:p>
      <w:pPr>
        <w:pStyle w:val="Normal"/>
        <w:widowControl w:val="false"/>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10) ustawy z dnia 13 czerwca 2003r. </w:t>
      </w:r>
      <w:r>
        <w:rPr>
          <w:rFonts w:eastAsia="Times New Roman" w:cs="Times New Roman" w:ascii="Arial Narrow" w:hAnsi="Arial Narrow"/>
          <w:b/>
          <w:sz w:val="24"/>
          <w:szCs w:val="24"/>
          <w:lang w:eastAsia="pl-PL"/>
        </w:rPr>
        <w:t>o zatrudnieniu socjalnym</w:t>
      </w:r>
      <w:r>
        <w:rPr>
          <w:rFonts w:eastAsia="Times New Roman" w:cs="Times New Roman" w:ascii="Arial Narrow" w:hAnsi="Arial Narrow"/>
          <w:sz w:val="24"/>
          <w:szCs w:val="24"/>
          <w:lang w:eastAsia="pl-PL"/>
        </w:rPr>
        <w:t xml:space="preserve"> (tj. Dz. U. z 2016r. poz. 1828)</w:t>
      </w:r>
    </w:p>
    <w:p>
      <w:pPr>
        <w:pStyle w:val="Normal"/>
        <w:widowControl w:val="false"/>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11) ustawy z dnia 27 sierpnia 1997r. </w:t>
      </w:r>
      <w:r>
        <w:rPr>
          <w:rFonts w:eastAsia="Times New Roman" w:cs="Times New Roman" w:ascii="Arial Narrow" w:hAnsi="Arial Narrow"/>
          <w:b/>
          <w:sz w:val="24"/>
          <w:szCs w:val="24"/>
          <w:lang w:eastAsia="pl-PL"/>
        </w:rPr>
        <w:t>o rehabilitacji zawodowej i społecznej</w:t>
      </w:r>
      <w:r>
        <w:rPr>
          <w:rFonts w:eastAsia="Times New Roman" w:cs="Times New Roman" w:ascii="Arial Narrow" w:hAnsi="Arial Narrow"/>
          <w:sz w:val="24"/>
          <w:szCs w:val="24"/>
          <w:lang w:eastAsia="pl-PL"/>
        </w:rPr>
        <w:t xml:space="preserve"> oraz zatrudnianiu osób niepełnosprawnych (Dz. U. z 2016r. poz. 2046 ze zm.)</w:t>
      </w:r>
    </w:p>
    <w:p>
      <w:pPr>
        <w:pStyle w:val="Normal"/>
        <w:widowControl w:val="false"/>
        <w:suppressAutoHyphens w:val="true"/>
        <w:spacing w:lineRule="auto" w:line="240" w:before="0" w:after="160"/>
        <w:ind w:left="-284" w:hanging="0"/>
        <w:contextualSpacing/>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12) ustawy z dnia z dnia 4 listopada 2016r.</w:t>
      </w:r>
      <w:r>
        <w:rPr>
          <w:rFonts w:eastAsia="Times New Roman" w:cs="Times New Roman" w:ascii="Arial Narrow" w:hAnsi="Arial Narrow"/>
          <w:b/>
          <w:sz w:val="24"/>
          <w:szCs w:val="24"/>
          <w:lang w:eastAsia="pl-PL"/>
        </w:rPr>
        <w:t>o wsparciu kobiet w ciąży i rodzin</w:t>
      </w:r>
      <w:r>
        <w:rPr>
          <w:rFonts w:eastAsia="Times New Roman" w:cs="Times New Roman" w:ascii="Arial Narrow" w:hAnsi="Arial Narrow"/>
          <w:sz w:val="24"/>
          <w:szCs w:val="24"/>
          <w:lang w:eastAsia="pl-PL"/>
        </w:rPr>
        <w:t xml:space="preserve"> "Za </w:t>
      </w:r>
      <w:r>
        <w:rPr>
          <w:rFonts w:eastAsia="Times New Roman" w:cs="Times New Roman" w:ascii="Arial Narrow" w:hAnsi="Arial Narrow"/>
          <w:iCs/>
          <w:sz w:val="24"/>
          <w:szCs w:val="24"/>
          <w:lang w:eastAsia="pl-PL"/>
        </w:rPr>
        <w:t>życiem</w:t>
      </w:r>
      <w:r>
        <w:rPr>
          <w:rFonts w:eastAsia="Times New Roman" w:cs="Times New Roman" w:ascii="Arial Narrow" w:hAnsi="Arial Narrow"/>
          <w:sz w:val="24"/>
          <w:szCs w:val="24"/>
          <w:lang w:eastAsia="pl-PL"/>
        </w:rPr>
        <w:t>"  (Dz. U. z 2016r.  poz. 1860)</w:t>
      </w:r>
    </w:p>
    <w:p>
      <w:pPr>
        <w:pStyle w:val="Normal"/>
        <w:widowControl w:val="false"/>
        <w:suppressAutoHyphens w:val="true"/>
        <w:spacing w:lineRule="auto" w:line="240" w:before="0" w:after="160"/>
        <w:ind w:left="-284" w:hanging="0"/>
        <w:contextualSpacing/>
        <w:jc w:val="both"/>
        <w:rPr>
          <w:rFonts w:ascii="Liberation Sans Narrow" w:hAnsi="Liberation Sans Narrow"/>
        </w:rPr>
      </w:pPr>
      <w:r>
        <w:rPr>
          <w:rFonts w:ascii="Liberation Sans Narrow" w:hAnsi="Liberation Sans Narrow"/>
          <w:sz w:val="24"/>
          <w:szCs w:val="24"/>
        </w:rPr>
        <w:t xml:space="preserve">13) ustawy z dnia 28 listopada 2003 roku o świadczeniach rodzinnych (tekst jednolity: Dz.U. z 2017r. poz. 1952); </w:t>
      </w:r>
    </w:p>
    <w:p>
      <w:pPr>
        <w:pStyle w:val="Normal"/>
        <w:widowControl w:val="false"/>
        <w:suppressAutoHyphens w:val="true"/>
        <w:spacing w:lineRule="auto" w:line="240" w:before="0" w:after="160"/>
        <w:ind w:left="-284" w:hanging="0"/>
        <w:contextualSpacing/>
        <w:jc w:val="both"/>
        <w:rPr>
          <w:sz w:val="24"/>
          <w:szCs w:val="24"/>
        </w:rPr>
      </w:pPr>
      <w:r>
        <w:rPr>
          <w:rFonts w:ascii="Liberation Sans Narrow" w:hAnsi="Liberation Sans Narrow"/>
          <w:sz w:val="24"/>
          <w:szCs w:val="24"/>
        </w:rPr>
        <w:t xml:space="preserve">14) ustawy </w:t>
      </w:r>
      <w:r>
        <w:rPr>
          <w:rFonts w:ascii="Liberation Sans Narrow" w:hAnsi="Liberation Sans Narrow"/>
          <w:sz w:val="24"/>
          <w:szCs w:val="24"/>
          <w:lang w:val="x-none"/>
        </w:rPr>
        <w:t xml:space="preserve">z dnia 4 kwietnia 2014 r. o ustaleniu i wypłacie zasiłków dla opiekunów (Dz. U. </w:t>
      </w:r>
      <w:r>
        <w:rPr>
          <w:rFonts w:ascii="Liberation Sans Narrow" w:hAnsi="Liberation Sans Narrow"/>
          <w:sz w:val="24"/>
          <w:szCs w:val="24"/>
        </w:rPr>
        <w:t xml:space="preserve">z 2014r. </w:t>
      </w:r>
      <w:r>
        <w:rPr>
          <w:rFonts w:ascii="Liberation Sans Narrow" w:hAnsi="Liberation Sans Narrow"/>
          <w:sz w:val="24"/>
          <w:szCs w:val="24"/>
          <w:lang w:val="x-none"/>
        </w:rPr>
        <w:t>poz. 567)</w:t>
      </w:r>
    </w:p>
    <w:p>
      <w:pPr>
        <w:pStyle w:val="Normal"/>
        <w:widowControl w:val="false"/>
        <w:suppressAutoHyphens w:val="true"/>
        <w:spacing w:lineRule="auto" w:line="240" w:before="0" w:after="160"/>
        <w:ind w:left="-284" w:hanging="0"/>
        <w:contextualSpacing/>
        <w:jc w:val="both"/>
        <w:rPr>
          <w:sz w:val="24"/>
          <w:szCs w:val="24"/>
        </w:rPr>
      </w:pPr>
      <w:r>
        <w:rPr>
          <w:rFonts w:ascii="Liberation Sans Narrow" w:hAnsi="Liberation Sans Narrow"/>
          <w:sz w:val="24"/>
          <w:szCs w:val="24"/>
        </w:rPr>
        <w:t>15) ustawy z dnia 7 września 2007r. o pomocy osobom uprawnionym do alimentów (t.j: Dz.U. z 2017r. poz. 489 z późn. zm.)</w:t>
      </w:r>
    </w:p>
    <w:p>
      <w:pPr>
        <w:pStyle w:val="Normal"/>
        <w:widowControl w:val="false"/>
        <w:suppressAutoHyphens w:val="true"/>
        <w:spacing w:lineRule="auto" w:line="240" w:before="0" w:after="160"/>
        <w:ind w:left="-284" w:hanging="0"/>
        <w:contextualSpacing/>
        <w:jc w:val="both"/>
        <w:rPr>
          <w:sz w:val="24"/>
          <w:szCs w:val="24"/>
        </w:rPr>
      </w:pPr>
      <w:r>
        <w:rPr>
          <w:rFonts w:ascii="Liberation Sans Narrow" w:hAnsi="Liberation Sans Narrow"/>
          <w:sz w:val="24"/>
          <w:szCs w:val="24"/>
        </w:rPr>
        <w:t>16) ustawy z dnia 11 lutego 2016r. o  pomocy państwa w  wychowywaniu dzieci  (tekst jednolity: Dz.U. z 2017r. poz. 1851 )</w:t>
      </w:r>
    </w:p>
    <w:p>
      <w:pPr>
        <w:pStyle w:val="Normal"/>
        <w:widowControl w:val="false"/>
        <w:suppressAutoHyphens w:val="true"/>
        <w:spacing w:lineRule="auto" w:line="240" w:before="0" w:after="160"/>
        <w:ind w:left="-284" w:hanging="0"/>
        <w:contextualSpacing/>
        <w:jc w:val="both"/>
        <w:rPr>
          <w:sz w:val="24"/>
          <w:szCs w:val="24"/>
        </w:rPr>
      </w:pPr>
      <w:r>
        <w:rPr>
          <w:rFonts w:eastAsia="Times New Roman" w:cs="Times New Roman" w:ascii="Liberation Sans Narrow" w:hAnsi="Liberation Sans Narrow"/>
          <w:sz w:val="24"/>
          <w:szCs w:val="24"/>
          <w:lang w:eastAsia="pl-PL"/>
        </w:rPr>
        <w:t xml:space="preserve">17) ustawy z dnia 21 czerwca 2001 r. o dodatkach mieszkaniowych (tj. Dz. U. z 2017r. poz.180),   </w:t>
      </w:r>
    </w:p>
    <w:p>
      <w:pPr>
        <w:pStyle w:val="Normal"/>
        <w:widowControl w:val="false"/>
        <w:suppressAutoHyphens w:val="true"/>
        <w:spacing w:lineRule="auto" w:line="240" w:before="0" w:after="160"/>
        <w:ind w:left="-284" w:hanging="0"/>
        <w:contextualSpacing/>
        <w:jc w:val="both"/>
        <w:rPr>
          <w:rFonts w:eastAsia="Times New Roman" w:cs="Times New Roman"/>
          <w:sz w:val="24"/>
          <w:szCs w:val="24"/>
          <w:lang w:eastAsia="pl-PL"/>
        </w:rPr>
      </w:pPr>
      <w:r>
        <w:rPr>
          <w:rFonts w:eastAsia="Times New Roman" w:cs="Times New Roman" w:ascii="Liberation Sans Narrow" w:hAnsi="Liberation Sans Narrow"/>
          <w:sz w:val="24"/>
          <w:szCs w:val="24"/>
          <w:lang w:eastAsia="pl-PL"/>
        </w:rPr>
        <w:t xml:space="preserve">18) ustawy z dnia 21 czerwca 2001 r. - Prawo energetyczne (tj. Dz. U. z 2017 r. poz.220);                  </w:t>
      </w:r>
    </w:p>
    <w:p>
      <w:pPr>
        <w:pStyle w:val="Normal"/>
        <w:widowControl w:val="false"/>
        <w:suppressAutoHyphens w:val="true"/>
        <w:spacing w:lineRule="auto" w:line="240" w:before="0" w:after="200"/>
        <w:ind w:left="-284" w:hanging="0"/>
        <w:contextualSpacing/>
        <w:jc w:val="both"/>
        <w:rPr>
          <w:rFonts w:eastAsia="Times New Roman" w:cs="Times New Roman"/>
          <w:sz w:val="24"/>
          <w:szCs w:val="24"/>
          <w:lang w:eastAsia="pl-PL"/>
        </w:rPr>
      </w:pPr>
      <w:r>
        <w:rPr>
          <w:rFonts w:eastAsia="Times New Roman" w:cs="Times New Roman" w:ascii="Liberation Sans Narrow" w:hAnsi="Liberation Sans Narrow"/>
          <w:sz w:val="24"/>
          <w:szCs w:val="24"/>
          <w:lang w:eastAsia="pl-PL"/>
        </w:rPr>
        <w:t>19) Gminnej Strategii Rozwiązywania Problemów Społecznych w Gminie Lidzbark Warmiński na lata 2017-2026.</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sz w:val="24"/>
          <w:szCs w:val="24"/>
        </w:rPr>
        <w:t>Podmiotem realizującym program na poziomie gminy jest  Gminny Ośrodek Pomocy Społecznej                             w Lidzbarku W. Gminny Program Wspierania Rodziny na lata 2018-2020 wyznacza priorytety i cele do realizacji oraz wskazuje</w:t>
      </w:r>
      <w:r>
        <w:rPr>
          <w:rFonts w:eastAsia="Times New Roman" w:cs="Times New Roman" w:ascii="Arial Narrow" w:hAnsi="Arial Narrow"/>
          <w:sz w:val="24"/>
          <w:szCs w:val="24"/>
          <w:lang w:eastAsia="pl-PL"/>
        </w:rPr>
        <w:t xml:space="preserve"> na możliwości budowania prawidłowo funkcjonującej najmniejszej komórki społecznej.</w:t>
      </w:r>
      <w:r>
        <w:rPr>
          <w:rFonts w:cs="Times New Roman" w:ascii="Arial Narrow" w:hAnsi="Arial Narrow"/>
          <w:color w:val="000000"/>
          <w:sz w:val="24"/>
          <w:szCs w:val="24"/>
        </w:rPr>
        <w:t xml:space="preserve"> </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ListParagraph"/>
        <w:numPr>
          <w:ilvl w:val="0"/>
          <w:numId w:val="3"/>
        </w:numPr>
        <w:spacing w:lineRule="auto" w:line="240" w:before="0" w:after="0"/>
        <w:contextualSpacing/>
        <w:jc w:val="both"/>
        <w:rPr>
          <w:rFonts w:ascii="Arial Narrow" w:hAnsi="Arial Narrow" w:cs="Times New Roman"/>
          <w:b/>
          <w:b/>
          <w:color w:val="000000"/>
          <w:sz w:val="26"/>
          <w:szCs w:val="26"/>
        </w:rPr>
      </w:pPr>
      <w:r>
        <w:rPr>
          <w:rFonts w:cs="Times New Roman" w:ascii="Arial Narrow" w:hAnsi="Arial Narrow"/>
          <w:b/>
          <w:color w:val="000000"/>
          <w:sz w:val="26"/>
          <w:szCs w:val="26"/>
        </w:rPr>
        <w:t>Diagnoza środowiska i problemu rodzin niewydolnych wychowawczo</w:t>
      </w:r>
    </w:p>
    <w:p>
      <w:pPr>
        <w:pStyle w:val="Normal"/>
        <w:spacing w:lineRule="auto" w:line="240" w:before="0" w:after="0"/>
        <w:jc w:val="both"/>
        <w:rPr>
          <w:rFonts w:ascii="Arial Narrow" w:hAnsi="Arial Narrow" w:cs="Times New Roman"/>
          <w:b/>
          <w:b/>
          <w:i/>
          <w:i/>
          <w:color w:val="000000"/>
          <w:sz w:val="24"/>
          <w:szCs w:val="24"/>
        </w:rPr>
      </w:pPr>
      <w:r>
        <w:rPr>
          <w:rFonts w:cs="Times New Roman" w:ascii="Arial Narrow" w:hAnsi="Arial Narrow"/>
          <w:b/>
          <w:i/>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Gmina Lidzbark Warmiński składa się z 40 sołectw, w skład których wchodzi 55 miejscowości. Liczba ludności w gminie na dzień 31 grudnia 2016r. wynosiła 6.778 osób.</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Na terenie gminy funkcjonują:</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 4  szkoły podstawowe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3) 2 oddziały przedszkolne przy szkołach podstawowych dla dzieci w wieku 3 - 4 lata</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4) 4 oddziały przedszkolne przy szkołach podstawowych dla dzieci w wieku 5 - 6 lat</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5) 3 biblioteki</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6) 4 boiska i stadiony</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7) 1 sala gimnastyczna</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8) 2 hale sportowe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9) 15 placów zabaw</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10) 2 świetlice środowiskowe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xml:space="preserve">11) Gminny Ośrodek Kultury i Sportu </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Wyżej wymienione podmioty pozwalają dzieciom i młodzieży realizować i rozwijać swoje pasje                                   i zainteresowania, organizują czas wolny, wspierają w nauce i rozwoju.  W placówkach wsparcia dziennego oraz w świetlicach środowiskowych i przyszkolnych oraz w kołach zainteresowań  odbywają się zajęcia  dla dzieci w zakresie pokonywania trudności  w nauce i organizowania czasu wolnego. Zapewniona jest pomoc rodzinie i dzieciom sprawiającym problemy wychowawcze, zagrożone demoralizacją, przestępczością lub uzależnieniami. Zajęcia realizowane są w formie kół zainteresowań, programów, zajęć wychowawczych, imprez okolicznościowych i integracyjnych, wyjazdów grupowych oraz warsztatów, zarówno dla dzieci jak i rodziców.</w:t>
      </w:r>
    </w:p>
    <w:p>
      <w:pPr>
        <w:pStyle w:val="Normal"/>
        <w:spacing w:lineRule="auto" w:line="240" w:before="0" w:after="0"/>
        <w:ind w:firstLine="708"/>
        <w:jc w:val="both"/>
        <w:rPr>
          <w:rFonts w:ascii="Arial Narrow" w:hAnsi="Arial Narrow" w:cs="Times New Roman"/>
          <w:color w:val="000000"/>
          <w:sz w:val="24"/>
          <w:szCs w:val="24"/>
        </w:rPr>
      </w:pPr>
      <w:r>
        <w:rPr>
          <w:rFonts w:cs="Times New Roman" w:ascii="Arial Narrow" w:hAnsi="Arial Narrow"/>
          <w:color w:val="000000"/>
          <w:sz w:val="24"/>
          <w:szCs w:val="24"/>
        </w:rPr>
        <w:t>Punktem wyjścia do określenia zadań Gminnego Programu Wspierania Rodziny jest analiza sprawozdań, sytuacji rodzin, obserwacja oraz analiza wywiadów środowiskowych rodzin korzystających  z pomocy Gminnego Ośrodka Pomocy Społecznej w Lidzbarku Warmińskim.</w:t>
      </w:r>
    </w:p>
    <w:p>
      <w:pPr>
        <w:pStyle w:val="Normal"/>
        <w:spacing w:lineRule="auto" w:line="240" w:before="0" w:after="0"/>
        <w:ind w:firstLine="708"/>
        <w:jc w:val="both"/>
        <w:rPr>
          <w:rFonts w:ascii="Arial Narrow" w:hAnsi="Arial Narrow" w:cs="Times New Roman"/>
          <w:color w:val="000000"/>
          <w:sz w:val="24"/>
          <w:szCs w:val="24"/>
        </w:rPr>
      </w:pPr>
      <w:r>
        <w:rPr>
          <w:rFonts w:cs="Times New Roman" w:ascii="Arial Narrow" w:hAnsi="Arial Narrow"/>
          <w:color w:val="000000"/>
          <w:sz w:val="24"/>
          <w:szCs w:val="24"/>
        </w:rPr>
        <w:t xml:space="preserve">Z bieżącej pracy i obserwacji rodzin korzystających z pomocy Gminnego Ośrodka Pomocy Społecznej w Lidzbarku W. wynika, że z nieprawidłowym funkcjonowaniem rodziny wiążą się takie zjawiska jak alkoholizm, przemoc,  rozwody, sieroctwo społeczne, przestępczość, ubóstwo i bezrobocie, brak właściwej opieki rodzicielskiej, nieporadność życiowa, nieprzystosowanie społeczne dzieci                     i młodzieży – czyli kłopoty w szkole, przestępczość i demoralizacja wśród nieletnich. </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xml:space="preserve">  </w:t>
      </w:r>
      <w:r>
        <w:rPr>
          <w:rFonts w:cs="Times New Roman" w:ascii="Arial Narrow" w:hAnsi="Arial Narrow"/>
          <w:color w:val="000000"/>
          <w:sz w:val="24"/>
          <w:szCs w:val="24"/>
        </w:rPr>
        <w:tab/>
        <w:t>Występuje szereg czynników, które zaburzają prawidłowe funkcjonowanie rodziny,  a tym samym warunkują jej bezradność w sprawach wychowawczych. Można je podzielić na grupy:</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czynniki ekonomiczno – społeczne: wielkość rodziny i jej struktura, pochodzenie społeczne rodziców, źródła utrzymania rodziny, sprawowanie opieki materialnej nad dziećmi, podział pracy i ról w rodzinie,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czynniki kulturalne: wykształcenie rodziców, wzory kulturowe i wychowawcze uznawane przez rodzinę, sposoby spędzania czasu wolnego przez członków rodziny, stosunek rodziców do nauki szkolnej dzieci    i ich przyszłego zawodu, stosunek członków rodziny do tradycji  i nowości,</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czynniki psychopedagogiczne: atmosfera środowiska rodzinnego, charakter stosunków pomiędzy rodzicami oraz między rodzicami a dziećmi, charakter kontroli rodziców nad dzieckiem, stosowanie środków wychowawczych.</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Niestety, niektóre rodziny nie posiadają wystarczających predyspozycji, by same mogły poradzić sobie    w trudnej sytuacji. Mówi się wówczas o bezradności  w sprawach opiekuńczo - wychowawczych, czyli                    o trudnościach w realizacji funkcji wobec dzieci. Warto zaznaczyć, że nieporadności rodziców na gruncie wychowania bardzo często towarzyszą inne zaburzenia życia rodzinnego, jak: rozluźnienie więzi między jej członkami, zła atmosfera, niewłaściwe metody wychowawcze, niemożność sprostania kłopotom materialnym, problemy alkoholowe oraz inne dysfunkcje.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Wśród najważniejszych zagrożeń dla rodziny w Gminie Lidzbark Warmiński wymienić należy między innymi:</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ubóstwo,  tj. brak zabezpieczenia podstawowych potrzeb biologicznych  i psychicznych dzieci pozostających w rodzinie, przekładające się na tzw. „wychowanie w ubóstwie”,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bezrobocie, które prowadzi do dysfunkcji życia osobistego, rodzinnego  i społecznego, rzutuje na poziom życia i rozwój całego społeczeństwa,</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bezradność w sprawach opiekuńczo – wychowawczych i prowadzenia gospodarstwa domowego,</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niepełnosprawność w rodzinie,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xml:space="preserve">- długotrwałe choroby, </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wielodzietność,</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samotne wychowywanie dzieci,</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uzależnienia w rodzinie.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r>
    </w:p>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t>Tabela nr 1.   Zagrożenia dla rodzin w latach 2015 - 2016.</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bl>
      <w:tblPr>
        <w:tblStyle w:val="Tabela-Siatka"/>
        <w:tblW w:w="9062" w:type="dxa"/>
        <w:jc w:val="left"/>
        <w:tblInd w:w="-15" w:type="dxa"/>
        <w:tblCellMar>
          <w:top w:w="0" w:type="dxa"/>
          <w:left w:w="83" w:type="dxa"/>
          <w:bottom w:w="0" w:type="dxa"/>
          <w:right w:w="108" w:type="dxa"/>
        </w:tblCellMar>
        <w:tblLook w:firstRow="1" w:noVBand="1" w:lastRow="0" w:firstColumn="1" w:lastColumn="0" w:noHBand="0" w:val="04a0"/>
      </w:tblPr>
      <w:tblGrid>
        <w:gridCol w:w="3242"/>
        <w:gridCol w:w="1288"/>
        <w:gridCol w:w="1560"/>
        <w:gridCol w:w="1416"/>
        <w:gridCol w:w="1556"/>
      </w:tblGrid>
      <w:tr>
        <w:trPr/>
        <w:tc>
          <w:tcPr>
            <w:tcW w:w="3242" w:type="dxa"/>
            <w:vMerge w:val="restart"/>
            <w:tcBorders/>
            <w:shd w:color="auto" w:fill="D9D9D9" w:themeFill="background1" w:themeFillShade="d9" w:val="clear"/>
            <w:tcMar>
              <w:left w:w="83" w:type="dxa"/>
            </w:tcMar>
          </w:tcPr>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t>Przyczyny zagrożeń dla rodzin</w:t>
            </w:r>
          </w:p>
        </w:tc>
        <w:tc>
          <w:tcPr>
            <w:tcW w:w="1288" w:type="dxa"/>
            <w:tcBorders/>
            <w:shd w:color="auto" w:fill="D9D9D9" w:themeFill="background1" w:themeFillShade="d9" w:val="clear"/>
            <w:tcMar>
              <w:left w:w="83" w:type="dxa"/>
            </w:tcMar>
          </w:tcPr>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t xml:space="preserve">Liczba rodzin objętych pomocą </w:t>
            </w:r>
          </w:p>
        </w:tc>
        <w:tc>
          <w:tcPr>
            <w:tcW w:w="1560" w:type="dxa"/>
            <w:tcBorders/>
            <w:shd w:color="auto" w:fill="D9D9D9" w:themeFill="background1" w:themeFillShade="d9" w:val="clear"/>
            <w:tcMar>
              <w:left w:w="83" w:type="dxa"/>
            </w:tcMar>
          </w:tcPr>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t>Liczba os.              w rodzinach</w:t>
            </w:r>
          </w:p>
        </w:tc>
        <w:tc>
          <w:tcPr>
            <w:tcW w:w="1416" w:type="dxa"/>
            <w:tcBorders/>
            <w:shd w:color="auto" w:fill="D9D9D9" w:themeFill="background1" w:themeFillShade="d9" w:val="clear"/>
            <w:tcMar>
              <w:left w:w="83" w:type="dxa"/>
            </w:tcMar>
          </w:tcPr>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t xml:space="preserve">Liczba rodzin </w:t>
            </w:r>
          </w:p>
        </w:tc>
        <w:tc>
          <w:tcPr>
            <w:tcW w:w="1556" w:type="dxa"/>
            <w:tcBorders/>
            <w:shd w:color="auto" w:fill="D9D9D9" w:themeFill="background1" w:themeFillShade="d9" w:val="clear"/>
            <w:tcMar>
              <w:left w:w="83" w:type="dxa"/>
            </w:tcMar>
          </w:tcPr>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t>Liczba os.                  w rodzinach</w:t>
            </w:r>
          </w:p>
        </w:tc>
      </w:tr>
      <w:tr>
        <w:trPr/>
        <w:tc>
          <w:tcPr>
            <w:tcW w:w="3242" w:type="dxa"/>
            <w:vMerge w:val="continue"/>
            <w:tcBorders/>
            <w:shd w:color="auto" w:fill="D9D9D9" w:themeFill="background1" w:themeFillShade="d9" w:val="clear"/>
            <w:tcMar>
              <w:left w:w="83" w:type="dxa"/>
            </w:tcMar>
          </w:tcPr>
          <w:p>
            <w:pPr>
              <w:pStyle w:val="Normal"/>
              <w:spacing w:lineRule="auto" w:line="240" w:before="0" w:after="0"/>
              <w:jc w:val="both"/>
              <w:rPr>
                <w:rFonts w:ascii="Arial Narrow" w:hAnsi="Arial Narrow" w:cs="Times New Roman"/>
                <w:b/>
                <w:b/>
                <w:color w:val="000000"/>
                <w:sz w:val="24"/>
                <w:szCs w:val="24"/>
              </w:rPr>
            </w:pPr>
            <w:r>
              <w:rPr>
                <w:rFonts w:cs="Times New Roman" w:ascii="Arial Narrow" w:hAnsi="Arial Narrow"/>
                <w:b/>
                <w:color w:val="000000"/>
                <w:sz w:val="24"/>
                <w:szCs w:val="24"/>
              </w:rPr>
            </w:r>
          </w:p>
        </w:tc>
        <w:tc>
          <w:tcPr>
            <w:tcW w:w="2848" w:type="dxa"/>
            <w:gridSpan w:val="2"/>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b/>
                <w:b/>
                <w:color w:val="000000"/>
                <w:sz w:val="24"/>
                <w:szCs w:val="24"/>
              </w:rPr>
            </w:pPr>
            <w:r>
              <w:rPr>
                <w:rFonts w:cs="Times New Roman" w:ascii="Arial Narrow" w:hAnsi="Arial Narrow"/>
                <w:b/>
                <w:color w:val="000000"/>
                <w:sz w:val="24"/>
                <w:szCs w:val="24"/>
              </w:rPr>
              <w:t>2015</w:t>
            </w:r>
          </w:p>
        </w:tc>
        <w:tc>
          <w:tcPr>
            <w:tcW w:w="2972" w:type="dxa"/>
            <w:gridSpan w:val="2"/>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b/>
                <w:b/>
                <w:color w:val="000000"/>
                <w:sz w:val="24"/>
                <w:szCs w:val="24"/>
              </w:rPr>
            </w:pPr>
            <w:r>
              <w:rPr>
                <w:rFonts w:cs="Times New Roman" w:ascii="Arial Narrow" w:hAnsi="Arial Narrow"/>
                <w:b/>
                <w:color w:val="000000"/>
                <w:sz w:val="24"/>
                <w:szCs w:val="24"/>
              </w:rPr>
              <w:t>2016</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ubóstwo</w:t>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xml:space="preserve"> </w:t>
            </w:r>
            <w:r>
              <w:rPr>
                <w:rFonts w:cs="Times New Roman" w:ascii="Arial Narrow" w:hAnsi="Arial Narrow"/>
                <w:color w:val="000000"/>
                <w:sz w:val="24"/>
                <w:szCs w:val="24"/>
              </w:rPr>
              <w:t>291</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964</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291</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867</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bezrobocie</w:t>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170</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597</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157</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528</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bezradność w sprawach opiekuńczo – wychowawczych i prowadzenia gospodarstwa domowego</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78</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396</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136</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595</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niepełnosprawność w rodzinie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99</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275</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100</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260</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samotne wychowywanie dzieci</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29</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105</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68</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218</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wielodzietność</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49</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291</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68</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377</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długotrwałe choroby</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55</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136</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63</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162</w:t>
            </w:r>
          </w:p>
        </w:tc>
      </w:tr>
      <w:tr>
        <w:trPr/>
        <w:tc>
          <w:tcPr>
            <w:tcW w:w="3242"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uzależnienia w rodzinie</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tc>
        <w:tc>
          <w:tcPr>
            <w:tcW w:w="1288"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25</w:t>
            </w:r>
          </w:p>
        </w:tc>
        <w:tc>
          <w:tcPr>
            <w:tcW w:w="1560"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74</w:t>
            </w:r>
          </w:p>
        </w:tc>
        <w:tc>
          <w:tcPr>
            <w:tcW w:w="141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48</w:t>
            </w:r>
          </w:p>
        </w:tc>
        <w:tc>
          <w:tcPr>
            <w:tcW w:w="1556" w:type="dxa"/>
            <w:tcBorders/>
            <w:shd w:fill="auto" w:val="clear"/>
            <w:tcMar>
              <w:left w:w="83" w:type="dxa"/>
            </w:tcMar>
          </w:tcPr>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147</w:t>
            </w:r>
          </w:p>
        </w:tc>
      </w:tr>
    </w:tbl>
    <w:p>
      <w:pPr>
        <w:pStyle w:val="Normal"/>
        <w:spacing w:lineRule="auto" w:line="360"/>
        <w:jc w:val="center"/>
        <w:rPr>
          <w:rFonts w:ascii="Arial Narrow" w:hAnsi="Arial Narrow"/>
          <w:i/>
          <w:i/>
          <w:sz w:val="20"/>
        </w:rPr>
      </w:pPr>
      <w:r>
        <w:rPr>
          <w:rFonts w:ascii="Arial Narrow" w:hAnsi="Arial Narrow"/>
          <w:i/>
          <w:sz w:val="20"/>
        </w:rPr>
        <w:t>Źródło: dane Ośrodka Pomocy Społecznej w Lidzbarku W.</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Problem bezradności w sprawach opiekuńczo – wychowawczych i prowadzenia gospodarstwa domowego jest problemem narastającym na terenie Gminy Lidzbark Warmiński.   Z tych też powodów wsparciem asystenta rodziny objęto w 2015r. –  15 rodzin i w 2016r.  - 15 rodzin. (liczba rodzin przypadająca na 1 asystenta nie może przekroczyć 15).</w:t>
      </w:r>
    </w:p>
    <w:p>
      <w:pPr>
        <w:pStyle w:val="Normal"/>
        <w:spacing w:lineRule="auto" w:line="240"/>
        <w:jc w:val="both"/>
        <w:rPr>
          <w:rFonts w:ascii="Arial Narrow" w:hAnsi="Arial Narrow" w:cs="Times New Roman"/>
          <w:color w:val="FF0000"/>
          <w:sz w:val="24"/>
          <w:szCs w:val="24"/>
        </w:rPr>
      </w:pPr>
      <w:r>
        <w:rPr>
          <w:rFonts w:cs="Times New Roman" w:ascii="Arial Narrow" w:hAnsi="Arial Narrow"/>
          <w:sz w:val="24"/>
          <w:szCs w:val="24"/>
        </w:rPr>
        <w:t>Przyczyny bezradności w rodzinach  wynikają z niskich kompetencji wychowawczych, rozbicia rodziny, przemocy, uzależnień, chorób psychicznych, czy pogorszenia statusu rodziny, w tym bezrobocia.</w:t>
      </w:r>
      <w:r>
        <w:rPr>
          <w:rFonts w:cs="Times New Roman" w:ascii="Arial Narrow" w:hAnsi="Arial Narrow"/>
          <w:color w:val="FF0000"/>
          <w:sz w:val="24"/>
          <w:szCs w:val="24"/>
        </w:rPr>
        <w:t xml:space="preserve">  </w:t>
      </w:r>
      <w:r>
        <w:rPr>
          <w:rFonts w:cs="Times New Roman" w:ascii="Arial Narrow" w:hAnsi="Arial Narrow"/>
          <w:sz w:val="24"/>
          <w:szCs w:val="24"/>
        </w:rPr>
        <w:t>Przy zapewnieniu wsparcia pomocy pracowników socjalnych, asystentów rodziny  i pomocy z innych instytucji w  znacznym stopniu daje szanse na pozostawienie dziecka w rodzinie biologicznej.</w:t>
      </w:r>
    </w:p>
    <w:p>
      <w:pPr>
        <w:pStyle w:val="Normal"/>
        <w:spacing w:lineRule="auto" w:line="360"/>
        <w:rPr>
          <w:rFonts w:ascii="Arial Narrow" w:hAnsi="Arial Narrow" w:eastAsia="Calibri" w:cs="Times New Roman"/>
          <w:b/>
          <w:b/>
          <w:iCs/>
          <w:sz w:val="24"/>
          <w:szCs w:val="24"/>
        </w:rPr>
      </w:pPr>
      <w:r>
        <w:rPr>
          <w:rFonts w:cs="Times New Roman" w:ascii="Arial Narrow" w:hAnsi="Arial Narrow"/>
          <w:b/>
          <w:sz w:val="24"/>
          <w:szCs w:val="24"/>
        </w:rPr>
        <w:t>Tabela nr 2. Liczba rodzin z dziećmi korzystających z pomocy społecznej w latach 2015 - 2016</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firstRow="1" w:noVBand="0" w:lastRow="1" w:firstColumn="1" w:lastColumn="1" w:noHBand="0" w:val="01e0"/>
      </w:tblPr>
      <w:tblGrid>
        <w:gridCol w:w="817"/>
        <w:gridCol w:w="1198"/>
        <w:gridCol w:w="1134"/>
        <w:gridCol w:w="992"/>
        <w:gridCol w:w="993"/>
        <w:gridCol w:w="1028"/>
        <w:gridCol w:w="1238"/>
      </w:tblGrid>
      <w:tr>
        <w:trPr/>
        <w:tc>
          <w:tcPr>
            <w:tcW w:w="8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Rok</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Rodziny               z dziećmi ogółem</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1 dziecko</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2 dzieci</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3 dzieci</w:t>
            </w:r>
          </w:p>
        </w:tc>
        <w:tc>
          <w:tcPr>
            <w:tcW w:w="10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4 dzieci</w:t>
            </w:r>
          </w:p>
        </w:tc>
        <w:tc>
          <w:tcPr>
            <w:tcW w:w="12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5 dzieci                i więcej</w:t>
            </w:r>
          </w:p>
        </w:tc>
      </w:tr>
      <w:tr>
        <w:trPr/>
        <w:tc>
          <w:tcPr>
            <w:tcW w:w="8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2015</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167</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55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63</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26</w:t>
            </w:r>
          </w:p>
        </w:tc>
        <w:tc>
          <w:tcPr>
            <w:tcW w:w="10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12</w:t>
            </w:r>
          </w:p>
        </w:tc>
        <w:tc>
          <w:tcPr>
            <w:tcW w:w="12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11</w:t>
            </w:r>
          </w:p>
        </w:tc>
      </w:tr>
      <w:tr>
        <w:trPr/>
        <w:tc>
          <w:tcPr>
            <w:tcW w:w="8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b/>
                <w:b/>
                <w:sz w:val="24"/>
                <w:szCs w:val="24"/>
              </w:rPr>
            </w:pPr>
            <w:r>
              <w:rPr>
                <w:rFonts w:eastAsia="Calibri" w:cs="Times New Roman" w:ascii="Arial Narrow" w:hAnsi="Arial Narrow"/>
                <w:b/>
                <w:sz w:val="24"/>
                <w:szCs w:val="24"/>
              </w:rPr>
              <w:t>2016</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234</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95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71</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44</w:t>
            </w:r>
          </w:p>
        </w:tc>
        <w:tc>
          <w:tcPr>
            <w:tcW w:w="10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16</w:t>
            </w:r>
          </w:p>
        </w:tc>
        <w:tc>
          <w:tcPr>
            <w:tcW w:w="12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spacing w:before="0" w:after="160"/>
              <w:jc w:val="center"/>
              <w:rPr>
                <w:rFonts w:ascii="Arial Narrow" w:hAnsi="Arial Narrow" w:eastAsia="Calibri" w:cs="Times New Roman"/>
                <w:sz w:val="24"/>
                <w:szCs w:val="24"/>
              </w:rPr>
            </w:pPr>
            <w:r>
              <w:rPr>
                <w:rFonts w:eastAsia="Calibri" w:cs="Times New Roman" w:ascii="Arial Narrow" w:hAnsi="Arial Narrow"/>
                <w:sz w:val="24"/>
                <w:szCs w:val="24"/>
              </w:rPr>
              <w:t>8</w:t>
            </w:r>
          </w:p>
        </w:tc>
      </w:tr>
    </w:tbl>
    <w:p>
      <w:pPr>
        <w:pStyle w:val="Normal"/>
        <w:spacing w:lineRule="auto" w:line="360"/>
        <w:jc w:val="center"/>
        <w:rPr>
          <w:rFonts w:ascii="Arial Narrow" w:hAnsi="Arial Narrow" w:cs="Times New Roman"/>
          <w:i/>
          <w:i/>
          <w:sz w:val="20"/>
        </w:rPr>
      </w:pPr>
      <w:r>
        <w:rPr>
          <w:rFonts w:cs="Times New Roman" w:ascii="Arial Narrow" w:hAnsi="Arial Narrow"/>
          <w:i/>
          <w:sz w:val="20"/>
        </w:rPr>
        <w:t>Źródło: dane Ośrodka Pomocy Społecznej w Lidzbarku W.</w:t>
      </w:r>
    </w:p>
    <w:p>
      <w:pPr>
        <w:pStyle w:val="Normal"/>
        <w:spacing w:lineRule="auto" w:line="240"/>
        <w:ind w:firstLine="709"/>
        <w:jc w:val="both"/>
        <w:rPr>
          <w:rFonts w:ascii="Arial Narrow" w:hAnsi="Arial Narrow" w:cs="Times New Roman"/>
          <w:sz w:val="24"/>
          <w:szCs w:val="24"/>
        </w:rPr>
      </w:pPr>
      <w:r>
        <w:rPr>
          <w:rFonts w:cs="Times New Roman" w:ascii="Arial Narrow" w:hAnsi="Arial Narrow"/>
          <w:sz w:val="24"/>
          <w:szCs w:val="24"/>
        </w:rPr>
        <w:t xml:space="preserve">Z przedstawionej tabeli wynika, że w  2016 roku wzrosła liczba rodzin z dziećmi korzystającymi  z pomocy społecznej. </w:t>
      </w:r>
    </w:p>
    <w:p>
      <w:pPr>
        <w:pStyle w:val="Normal"/>
        <w:spacing w:lineRule="auto" w:line="240"/>
        <w:ind w:firstLine="709"/>
        <w:jc w:val="both"/>
        <w:rPr>
          <w:rFonts w:ascii="Arial Narrow" w:hAnsi="Arial Narrow" w:cs="Times New Roman"/>
          <w:sz w:val="24"/>
          <w:szCs w:val="24"/>
        </w:rPr>
      </w:pPr>
      <w:r>
        <w:rPr>
          <w:rFonts w:cs="Times New Roman" w:ascii="Arial Narrow" w:hAnsi="Arial Narrow"/>
          <w:sz w:val="24"/>
          <w:szCs w:val="24"/>
        </w:rPr>
      </w:r>
    </w:p>
    <w:p>
      <w:pPr>
        <w:pStyle w:val="Normal"/>
        <w:spacing w:lineRule="auto" w:line="360"/>
        <w:rPr>
          <w:rFonts w:ascii="Arial Narrow" w:hAnsi="Arial Narrow" w:eastAsia="Calibri" w:cs="Times New Roman"/>
          <w:b/>
          <w:b/>
          <w:iCs/>
          <w:sz w:val="24"/>
          <w:szCs w:val="24"/>
        </w:rPr>
      </w:pPr>
      <w:r>
        <w:rPr>
          <w:rFonts w:cs="Times New Roman" w:ascii="Arial Narrow" w:hAnsi="Arial Narrow"/>
          <w:b/>
          <w:sz w:val="24"/>
          <w:szCs w:val="24"/>
        </w:rPr>
        <w:t xml:space="preserve">Tabela nr 3. </w:t>
      </w:r>
      <w:r>
        <w:rPr>
          <w:rFonts w:eastAsia="Calibri" w:cs="Times New Roman" w:ascii="Arial Narrow" w:hAnsi="Arial Narrow"/>
          <w:b/>
          <w:iCs/>
          <w:sz w:val="24"/>
          <w:szCs w:val="24"/>
        </w:rPr>
        <w:t>Powody przyznania pomocy finansowej i w naturze w latach 2015 - 2016</w:t>
      </w:r>
    </w:p>
    <w:tbl>
      <w:tblPr>
        <w:tblW w:w="7497"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firstRow="1" w:noVBand="0" w:lastRow="0" w:firstColumn="1" w:lastColumn="0" w:noHBand="0" w:val="00a0"/>
      </w:tblPr>
      <w:tblGrid>
        <w:gridCol w:w="4605"/>
        <w:gridCol w:w="1483"/>
        <w:gridCol w:w="1409"/>
      </w:tblGrid>
      <w:tr>
        <w:trPr>
          <w:trHeight w:val="672" w:hRule="atLeast"/>
        </w:trPr>
        <w:tc>
          <w:tcPr>
            <w:tcW w:w="460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tabs>
                <w:tab w:val="left" w:pos="284" w:leader="none"/>
                <w:tab w:val="left" w:pos="425" w:leader="none"/>
              </w:tabs>
              <w:rPr>
                <w:rFonts w:ascii="Arial Narrow" w:hAnsi="Arial Narrow" w:eastAsia="Calibri" w:cs="Times New Roman"/>
                <w:b/>
                <w:b/>
                <w:bCs/>
              </w:rPr>
            </w:pPr>
            <w:r>
              <w:rPr>
                <w:rFonts w:eastAsia="Calibri" w:cs="Times New Roman" w:ascii="Arial Narrow" w:hAnsi="Arial Narrow"/>
                <w:b/>
                <w:bCs/>
              </w:rPr>
            </w:r>
          </w:p>
          <w:p>
            <w:pPr>
              <w:pStyle w:val="Normal"/>
              <w:tabs>
                <w:tab w:val="left" w:pos="284" w:leader="none"/>
                <w:tab w:val="left" w:pos="425" w:leader="none"/>
              </w:tabs>
              <w:spacing w:before="0" w:after="160"/>
              <w:rPr>
                <w:rFonts w:ascii="Arial Narrow" w:hAnsi="Arial Narrow" w:eastAsia="Calibri" w:cs="Times New Roman"/>
                <w:b/>
                <w:b/>
                <w:bCs/>
              </w:rPr>
            </w:pPr>
            <w:r>
              <w:rPr>
                <w:rFonts w:eastAsia="Calibri" w:cs="Times New Roman" w:ascii="Arial Narrow" w:hAnsi="Arial Narrow"/>
                <w:b/>
                <w:bCs/>
              </w:rPr>
              <w:t>Powód trudnej sytuacji  życiowej</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tabs>
                <w:tab w:val="left" w:pos="284" w:leader="none"/>
                <w:tab w:val="left" w:pos="425" w:leader="none"/>
              </w:tabs>
              <w:jc w:val="center"/>
              <w:rPr>
                <w:rFonts w:ascii="Arial Narrow" w:hAnsi="Arial Narrow" w:eastAsia="Calibri" w:cs="Times New Roman"/>
                <w:b/>
                <w:b/>
                <w:bCs/>
              </w:rPr>
            </w:pPr>
            <w:r>
              <w:rPr>
                <w:rFonts w:eastAsia="Calibri" w:cs="Times New Roman" w:ascii="Arial Narrow" w:hAnsi="Arial Narrow"/>
                <w:b/>
                <w:bCs/>
              </w:rPr>
              <w:t>2015</w:t>
            </w:r>
          </w:p>
          <w:p>
            <w:pPr>
              <w:pStyle w:val="Normal"/>
              <w:spacing w:before="0" w:after="160"/>
              <w:rPr>
                <w:rFonts w:ascii="Arial Narrow" w:hAnsi="Arial Narrow" w:cs="Times New Roman"/>
              </w:rPr>
            </w:pPr>
            <w:r>
              <w:rPr>
                <w:rFonts w:cs="Times New Roman" w:ascii="Arial Narrow" w:hAnsi="Arial Narrow"/>
              </w:rPr>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rPr>
                <w:rFonts w:ascii="Arial Narrow" w:hAnsi="Arial Narrow" w:cs="Times New Roman"/>
                <w:b/>
                <w:b/>
              </w:rPr>
            </w:pPr>
            <w:r>
              <w:rPr>
                <w:rFonts w:cs="Times New Roman" w:ascii="Arial Narrow" w:hAnsi="Arial Narrow"/>
                <w:b/>
              </w:rPr>
              <w:t>2016</w:t>
            </w:r>
          </w:p>
          <w:p>
            <w:pPr>
              <w:pStyle w:val="Normal"/>
              <w:spacing w:before="0" w:after="160"/>
              <w:rPr>
                <w:rFonts w:ascii="Arial Narrow" w:hAnsi="Arial Narrow" w:cs="Times New Roman"/>
                <w:b/>
                <w:b/>
              </w:rPr>
            </w:pPr>
            <w:r>
              <w:rPr>
                <w:rFonts w:cs="Times New Roman" w:ascii="Arial Narrow" w:hAnsi="Arial Narrow"/>
                <w:b/>
              </w:rPr>
            </w:r>
          </w:p>
        </w:tc>
      </w:tr>
      <w:tr>
        <w:trPr>
          <w:trHeight w:val="625" w:hRule="atLeast"/>
        </w:trPr>
        <w:tc>
          <w:tcPr>
            <w:tcW w:w="460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tabs>
                <w:tab w:val="left" w:pos="284" w:leader="none"/>
                <w:tab w:val="left" w:pos="425" w:leader="none"/>
              </w:tabs>
              <w:spacing w:before="0" w:after="160"/>
              <w:rPr>
                <w:rFonts w:ascii="Arial Narrow" w:hAnsi="Arial Narrow" w:eastAsia="Calibri" w:cs="Times New Roman"/>
                <w:b/>
                <w:b/>
                <w:bCs/>
              </w:rPr>
            </w:pPr>
            <w:r>
              <w:rPr>
                <w:rFonts w:eastAsia="Calibri" w:cs="Times New Roman" w:ascii="Arial Narrow" w:hAnsi="Arial Narrow"/>
                <w:b/>
                <w:bCs/>
              </w:rPr>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widowControl/>
              <w:bidi w:val="0"/>
              <w:spacing w:lineRule="auto" w:line="259" w:before="0" w:after="160"/>
              <w:jc w:val="left"/>
              <w:rPr>
                <w:rFonts w:ascii="Arial Narrow" w:hAnsi="Arial Narrow" w:eastAsia="Calibri" w:cs="Times New Roman"/>
                <w:b/>
                <w:b/>
                <w:bCs/>
              </w:rPr>
            </w:pPr>
            <w:r>
              <w:rPr>
                <w:rFonts w:eastAsia="Calibri" w:cs="Times New Roman" w:ascii="Arial Narrow" w:hAnsi="Arial Narrow"/>
                <w:b/>
                <w:bCs/>
              </w:rPr>
              <w:t>Liczba rodzin</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83" w:type="dxa"/>
            </w:tcMar>
          </w:tcPr>
          <w:p>
            <w:pPr>
              <w:pStyle w:val="Normal"/>
              <w:widowControl/>
              <w:bidi w:val="0"/>
              <w:spacing w:lineRule="auto" w:line="259" w:before="0" w:after="160"/>
              <w:jc w:val="left"/>
              <w:rPr>
                <w:rFonts w:ascii="Arial Narrow" w:hAnsi="Arial Narrow" w:cs="Times New Roman"/>
                <w:b/>
                <w:b/>
              </w:rPr>
            </w:pPr>
            <w:r>
              <w:rPr>
                <w:rFonts w:cs="Times New Roman" w:ascii="Arial Narrow" w:hAnsi="Arial Narrow"/>
                <w:b/>
              </w:rPr>
              <w:t>Liczba rodzin</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Ubóstwo</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291</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291</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Sieroctwo</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Bezdomność</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4</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6</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Potrzeba ochrony macierzyństwa</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55</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46</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Bezrobocie</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170</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157</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Niepełnosprawność</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99</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100</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Długotrwała lub ciężka choroba</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55</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63</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Bezradność w sprawach opiekuńczo-wychowawczych i prowadzeniu gospodarstwa domowego</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78</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136</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ind w:left="426" w:hanging="0"/>
              <w:rPr>
                <w:rFonts w:ascii="Arial Narrow" w:hAnsi="Arial Narrow" w:eastAsia="Calibri" w:cs="Times New Roman"/>
              </w:rPr>
            </w:pPr>
            <w:r>
              <w:rPr>
                <w:rFonts w:eastAsia="Calibri" w:cs="Times New Roman" w:ascii="Arial Narrow" w:hAnsi="Arial Narrow"/>
              </w:rPr>
              <w:t>w tym: rodziny niepełne</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29</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68</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ind w:left="993" w:hanging="0"/>
              <w:rPr>
                <w:rFonts w:ascii="Arial Narrow" w:hAnsi="Arial Narrow" w:eastAsia="Calibri" w:cs="Times New Roman"/>
              </w:rPr>
            </w:pPr>
            <w:r>
              <w:rPr>
                <w:rFonts w:eastAsia="Calibri" w:cs="Times New Roman" w:ascii="Arial Narrow" w:hAnsi="Arial Narrow"/>
              </w:rPr>
              <w:t>rodziny wielodzietne</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48</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68</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Przemoc w rodzinie</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5</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88</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Potrzeba ochrony ofiar handlu ludźmi</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Alkoholizm</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25</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48</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Narkomania</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3</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Trudności w przystosowaniu do życia po opuszczeniu zakładu karnego</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6</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6</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Zdarzenie losowe</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1</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1</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rPr>
                <w:rFonts w:ascii="Arial Narrow" w:hAnsi="Arial Narrow" w:eastAsia="Calibri" w:cs="Times New Roman"/>
              </w:rPr>
            </w:pPr>
            <w:r>
              <w:rPr>
                <w:rFonts w:eastAsia="Calibri" w:cs="Times New Roman" w:ascii="Arial Narrow" w:hAnsi="Arial Narrow"/>
              </w:rPr>
              <w:t>Klęska żywiołowa</w:t>
            </w:r>
          </w:p>
        </w:tc>
        <w:tc>
          <w:tcPr>
            <w:tcW w:w="14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c>
          <w:tcPr>
            <w:tcW w:w="1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3" w:type="dxa"/>
            </w:tcMar>
          </w:tcPr>
          <w:p>
            <w:pPr>
              <w:pStyle w:val="Normal"/>
              <w:tabs>
                <w:tab w:val="left" w:pos="284" w:leader="none"/>
                <w:tab w:val="left" w:pos="425" w:leader="none"/>
              </w:tabs>
              <w:spacing w:before="0" w:after="160"/>
              <w:jc w:val="center"/>
              <w:rPr>
                <w:rFonts w:ascii="Arial Narrow" w:hAnsi="Arial Narrow" w:eastAsia="Calibri" w:cs="Times New Roman"/>
                <w:b/>
                <w:b/>
              </w:rPr>
            </w:pPr>
            <w:r>
              <w:rPr>
                <w:rFonts w:eastAsia="Calibri" w:cs="Times New Roman" w:ascii="Arial Narrow" w:hAnsi="Arial Narrow"/>
                <w:b/>
              </w:rPr>
              <w:t>0</w:t>
            </w:r>
          </w:p>
        </w:tc>
      </w:tr>
    </w:tbl>
    <w:p>
      <w:pPr>
        <w:pStyle w:val="Normal"/>
        <w:spacing w:lineRule="auto" w:line="360"/>
        <w:jc w:val="center"/>
        <w:rPr>
          <w:rFonts w:ascii="Arial Narrow" w:hAnsi="Arial Narrow" w:cs="Times New Roman"/>
          <w:i/>
          <w:i/>
        </w:rPr>
      </w:pPr>
      <w:r>
        <w:rPr>
          <w:rFonts w:cs="Times New Roman" w:ascii="Arial Narrow" w:hAnsi="Arial Narrow"/>
          <w:i/>
        </w:rPr>
        <w:t>Źródło. Sprawozdanie roczne OPS</w:t>
      </w:r>
    </w:p>
    <w:p>
      <w:pPr>
        <w:pStyle w:val="Normal"/>
        <w:spacing w:lineRule="auto" w:line="240"/>
        <w:ind w:firstLine="708"/>
        <w:jc w:val="both"/>
        <w:rPr>
          <w:rFonts w:ascii="Arial Narrow" w:hAnsi="Arial Narrow" w:cs="Times New Roman"/>
          <w:sz w:val="24"/>
          <w:szCs w:val="24"/>
        </w:rPr>
      </w:pPr>
      <w:r>
        <w:rPr>
          <w:rFonts w:cs="Times New Roman" w:ascii="Arial Narrow" w:hAnsi="Arial Narrow"/>
          <w:sz w:val="24"/>
          <w:szCs w:val="24"/>
        </w:rPr>
        <w:t>W latach 2015 – 2016  głównym powodem przyznawania świadczeń było  ubóstwo. Kolejnymi najczęściej występującymi powodami udzielania pomocy były bezrobocie, niepełnosprawność, bezradność w sprawach opiekuńczo-wychowawczych i długotrwała lub ciężka choroba. Wśród osób ubiegających się o wsparcie w ramach ustawy o pomocy społecznej ubóstwo i bezrobocie pozostają na na drugim i trzecim miejscu pozostają rodziny  cechujące się bezradnością w sprawach opiekuńczo- wychowawczych.</w:t>
      </w:r>
    </w:p>
    <w:p>
      <w:pPr>
        <w:pStyle w:val="ListParagraph"/>
        <w:numPr>
          <w:ilvl w:val="0"/>
          <w:numId w:val="3"/>
        </w:numPr>
        <w:spacing w:lineRule="auto" w:line="240"/>
        <w:jc w:val="both"/>
        <w:rPr>
          <w:rFonts w:ascii="Arial Narrow" w:hAnsi="Arial Narrow" w:cs="Times New Roman"/>
          <w:b/>
          <w:b/>
          <w:sz w:val="26"/>
          <w:szCs w:val="26"/>
        </w:rPr>
      </w:pPr>
      <w:r>
        <w:rPr>
          <w:rFonts w:cs="Times New Roman" w:ascii="Arial Narrow" w:hAnsi="Arial Narrow"/>
          <w:b/>
          <w:sz w:val="26"/>
          <w:szCs w:val="26"/>
        </w:rPr>
        <w:t xml:space="preserve">Piecza zastępcza   </w:t>
      </w:r>
    </w:p>
    <w:p>
      <w:pPr>
        <w:pStyle w:val="Normal"/>
        <w:spacing w:lineRule="auto" w:line="240"/>
        <w:ind w:firstLine="708"/>
        <w:jc w:val="both"/>
        <w:rPr>
          <w:rFonts w:ascii="Arial Narrow" w:hAnsi="Arial Narrow" w:cs="Times New Roman"/>
          <w:sz w:val="24"/>
          <w:szCs w:val="24"/>
        </w:rPr>
      </w:pPr>
      <w:r>
        <w:rPr>
          <w:rFonts w:cs="Times New Roman" w:ascii="Arial Narrow" w:hAnsi="Arial Narrow"/>
          <w:sz w:val="24"/>
          <w:szCs w:val="24"/>
        </w:rPr>
        <w:t>W sytuacji, gdy rodzice znaleźli się w trudnej sytuacji życiowej i nie są w stanie sami wypełniać należycie funkcji opiekuńczo-wychowawczych wobec dzieci o potrzebie umieszczenia dziecka w pieczy zastępczej decyduje Sąd Rodzinny. Natomiast Powiatowe Centrum Pomocy Rodzinie wykonuje postanowienia Sądu,  zapewniając opiekę, a gmina właściwa ze względu na miejsce zamieszkania dziecka przed umieszczeniem go po raz pierwszy w pieczy zastępczej albo w rodzinnym domu dziecka ponosi odpowiednio wydatki:</w:t>
      </w:r>
    </w:p>
    <w:p>
      <w:pPr>
        <w:pStyle w:val="Normal"/>
        <w:numPr>
          <w:ilvl w:val="0"/>
          <w:numId w:val="1"/>
        </w:numPr>
        <w:spacing w:lineRule="auto" w:line="240" w:before="0" w:after="0"/>
        <w:rPr>
          <w:rFonts w:ascii="Arial Narrow" w:hAnsi="Arial Narrow" w:cs="Times New Roman"/>
          <w:sz w:val="24"/>
          <w:szCs w:val="24"/>
        </w:rPr>
      </w:pPr>
      <w:r>
        <w:rPr>
          <w:rFonts w:cs="Times New Roman" w:ascii="Arial Narrow" w:hAnsi="Arial Narrow"/>
          <w:sz w:val="24"/>
          <w:szCs w:val="24"/>
        </w:rPr>
        <w:t xml:space="preserve">10% wydatków na opiekę i wychowanie dziecka w pierwszym roku pobytu dziecka </w:t>
        <w:br/>
        <w:t>w pieczy zastępczej.</w:t>
      </w:r>
    </w:p>
    <w:p>
      <w:pPr>
        <w:pStyle w:val="Normal"/>
        <w:numPr>
          <w:ilvl w:val="0"/>
          <w:numId w:val="1"/>
        </w:numPr>
        <w:spacing w:lineRule="auto" w:line="240" w:before="0" w:after="0"/>
        <w:rPr>
          <w:rFonts w:ascii="Arial Narrow" w:hAnsi="Arial Narrow" w:cs="Times New Roman"/>
          <w:sz w:val="24"/>
          <w:szCs w:val="24"/>
        </w:rPr>
      </w:pPr>
      <w:r>
        <w:rPr>
          <w:rFonts w:cs="Times New Roman" w:ascii="Arial Narrow" w:hAnsi="Arial Narrow"/>
          <w:sz w:val="24"/>
          <w:szCs w:val="24"/>
        </w:rPr>
        <w:t xml:space="preserve">30% wydatków na opiekę i wychowanie dziecka w drugim roku pobytu dziecka </w:t>
        <w:br/>
        <w:t>w pieczy zastępczej.</w:t>
      </w:r>
    </w:p>
    <w:p>
      <w:pPr>
        <w:pStyle w:val="Normal"/>
        <w:numPr>
          <w:ilvl w:val="0"/>
          <w:numId w:val="1"/>
        </w:numPr>
        <w:spacing w:lineRule="auto" w:line="240" w:before="0" w:after="0"/>
        <w:rPr>
          <w:rFonts w:ascii="Arial Narrow" w:hAnsi="Arial Narrow" w:cs="Times New Roman"/>
          <w:sz w:val="24"/>
          <w:szCs w:val="24"/>
        </w:rPr>
      </w:pPr>
      <w:r>
        <w:rPr>
          <w:rFonts w:cs="Times New Roman" w:ascii="Arial Narrow" w:hAnsi="Arial Narrow"/>
          <w:sz w:val="24"/>
          <w:szCs w:val="24"/>
        </w:rPr>
        <w:t>50 % wydatków na opiekę i wychowanie dziecka w trzecim roku i następnych latach pobytu dziecka w pieczy zastępczej.</w:t>
      </w:r>
    </w:p>
    <w:p>
      <w:pPr>
        <w:pStyle w:val="Normal"/>
        <w:spacing w:lineRule="auto" w:line="240"/>
        <w:jc w:val="both"/>
        <w:rPr>
          <w:rFonts w:ascii="Arial Narrow" w:hAnsi="Arial Narrow" w:cs="Times New Roman"/>
          <w:sz w:val="24"/>
          <w:szCs w:val="24"/>
        </w:rPr>
      </w:pPr>
      <w:r>
        <w:rPr>
          <w:rFonts w:cs="Times New Roman" w:ascii="Arial Narrow" w:hAnsi="Arial Narrow"/>
          <w:sz w:val="24"/>
          <w:szCs w:val="24"/>
        </w:rPr>
        <w:t xml:space="preserve">Z danych z danych tut Ośrodka  (wg stanu na dzień 31.12.2016 r.) wynika, że z terenu gminy Lidzbark Warmiński liczba dzieci w pieczy zastępczej w 2016 roku wynosiła </w:t>
      </w:r>
      <w:r>
        <w:rPr>
          <w:rFonts w:cs="Times New Roman" w:ascii="Arial Narrow" w:hAnsi="Arial Narrow"/>
          <w:b/>
          <w:sz w:val="24"/>
          <w:szCs w:val="24"/>
        </w:rPr>
        <w:t xml:space="preserve">18 </w:t>
      </w:r>
      <w:r>
        <w:rPr>
          <w:rFonts w:cs="Times New Roman" w:ascii="Arial Narrow" w:hAnsi="Arial Narrow"/>
          <w:sz w:val="24"/>
          <w:szCs w:val="24"/>
        </w:rPr>
        <w:t xml:space="preserve">w tym: </w:t>
      </w:r>
    </w:p>
    <w:p>
      <w:pPr>
        <w:pStyle w:val="Normal"/>
        <w:numPr>
          <w:ilvl w:val="1"/>
          <w:numId w:val="1"/>
        </w:numPr>
        <w:spacing w:lineRule="auto" w:line="240" w:before="0" w:after="0"/>
        <w:jc w:val="both"/>
        <w:rPr>
          <w:rFonts w:ascii="Arial Narrow" w:hAnsi="Arial Narrow" w:cs="Times New Roman"/>
          <w:sz w:val="24"/>
          <w:szCs w:val="24"/>
        </w:rPr>
      </w:pPr>
      <w:r>
        <w:rPr>
          <w:rFonts w:cs="Times New Roman" w:ascii="Arial Narrow" w:hAnsi="Arial Narrow"/>
          <w:sz w:val="24"/>
          <w:szCs w:val="24"/>
        </w:rPr>
        <w:t xml:space="preserve">w spokrewnionych rodzinach zastępczych - </w:t>
      </w:r>
      <w:r>
        <w:rPr>
          <w:rFonts w:cs="Times New Roman" w:ascii="Arial Narrow" w:hAnsi="Arial Narrow"/>
          <w:b/>
          <w:sz w:val="24"/>
          <w:szCs w:val="24"/>
        </w:rPr>
        <w:t>7</w:t>
      </w:r>
      <w:r>
        <w:rPr>
          <w:rFonts w:cs="Times New Roman" w:ascii="Arial Narrow" w:hAnsi="Arial Narrow"/>
          <w:sz w:val="24"/>
          <w:szCs w:val="24"/>
        </w:rPr>
        <w:t xml:space="preserve"> dzieci,</w:t>
      </w:r>
    </w:p>
    <w:p>
      <w:pPr>
        <w:pStyle w:val="Normal"/>
        <w:numPr>
          <w:ilvl w:val="1"/>
          <w:numId w:val="1"/>
        </w:numPr>
        <w:spacing w:lineRule="auto" w:line="240" w:before="0" w:after="0"/>
        <w:jc w:val="both"/>
        <w:rPr>
          <w:rFonts w:ascii="Arial Narrow" w:hAnsi="Arial Narrow" w:cs="Times New Roman"/>
          <w:sz w:val="24"/>
          <w:szCs w:val="24"/>
        </w:rPr>
      </w:pPr>
      <w:r>
        <w:rPr>
          <w:rFonts w:cs="Times New Roman" w:ascii="Arial Narrow" w:hAnsi="Arial Narrow"/>
          <w:sz w:val="24"/>
          <w:szCs w:val="24"/>
        </w:rPr>
        <w:t xml:space="preserve">w niespokrewnionych rodzinach zastępczych - </w:t>
      </w:r>
      <w:r>
        <w:rPr>
          <w:rFonts w:cs="Times New Roman" w:ascii="Arial Narrow" w:hAnsi="Arial Narrow"/>
          <w:b/>
          <w:sz w:val="24"/>
          <w:szCs w:val="24"/>
        </w:rPr>
        <w:t>0</w:t>
      </w:r>
      <w:r>
        <w:rPr>
          <w:rFonts w:cs="Times New Roman" w:ascii="Arial Narrow" w:hAnsi="Arial Narrow"/>
          <w:sz w:val="24"/>
          <w:szCs w:val="24"/>
        </w:rPr>
        <w:t xml:space="preserve"> dzieci,</w:t>
      </w:r>
    </w:p>
    <w:p>
      <w:pPr>
        <w:pStyle w:val="Normal"/>
        <w:numPr>
          <w:ilvl w:val="1"/>
          <w:numId w:val="1"/>
        </w:numPr>
        <w:spacing w:lineRule="auto" w:line="240" w:before="0" w:after="0"/>
        <w:jc w:val="both"/>
        <w:rPr>
          <w:rFonts w:ascii="Arial Narrow" w:hAnsi="Arial Narrow" w:cs="Times New Roman"/>
          <w:sz w:val="24"/>
          <w:szCs w:val="24"/>
        </w:rPr>
      </w:pPr>
      <w:r>
        <w:rPr>
          <w:rFonts w:cs="Times New Roman" w:ascii="Arial Narrow" w:hAnsi="Arial Narrow"/>
          <w:sz w:val="24"/>
          <w:szCs w:val="24"/>
        </w:rPr>
        <w:t xml:space="preserve">w zawodowych rodzinach zastępczych – </w:t>
      </w:r>
      <w:r>
        <w:rPr>
          <w:rFonts w:cs="Times New Roman" w:ascii="Arial Narrow" w:hAnsi="Arial Narrow"/>
          <w:b/>
          <w:sz w:val="24"/>
          <w:szCs w:val="24"/>
        </w:rPr>
        <w:t>4</w:t>
      </w:r>
      <w:r>
        <w:rPr>
          <w:rFonts w:cs="Times New Roman" w:ascii="Arial Narrow" w:hAnsi="Arial Narrow"/>
          <w:sz w:val="24"/>
          <w:szCs w:val="24"/>
        </w:rPr>
        <w:t xml:space="preserve"> dzieci, </w:t>
      </w:r>
    </w:p>
    <w:p>
      <w:pPr>
        <w:pStyle w:val="Normal"/>
        <w:numPr>
          <w:ilvl w:val="1"/>
          <w:numId w:val="1"/>
        </w:numPr>
        <w:spacing w:lineRule="auto" w:line="240" w:before="0" w:after="0"/>
        <w:jc w:val="both"/>
        <w:rPr>
          <w:rFonts w:ascii="Arial Narrow" w:hAnsi="Arial Narrow" w:cs="Times New Roman"/>
          <w:sz w:val="24"/>
          <w:szCs w:val="24"/>
        </w:rPr>
      </w:pPr>
      <w:r>
        <w:rPr>
          <w:rFonts w:cs="Times New Roman" w:ascii="Arial Narrow" w:hAnsi="Arial Narrow"/>
          <w:sz w:val="24"/>
          <w:szCs w:val="24"/>
        </w:rPr>
        <w:t xml:space="preserve">w Rodzinnym Domu Dziecka – </w:t>
      </w:r>
      <w:r>
        <w:rPr>
          <w:rFonts w:cs="Times New Roman" w:ascii="Arial Narrow" w:hAnsi="Arial Narrow"/>
          <w:b/>
          <w:sz w:val="24"/>
          <w:szCs w:val="24"/>
        </w:rPr>
        <w:t>0</w:t>
      </w:r>
      <w:r>
        <w:rPr>
          <w:rFonts w:cs="Times New Roman" w:ascii="Arial Narrow" w:hAnsi="Arial Narrow"/>
          <w:sz w:val="24"/>
          <w:szCs w:val="24"/>
        </w:rPr>
        <w:t xml:space="preserve"> dzieci </w:t>
      </w:r>
    </w:p>
    <w:p>
      <w:pPr>
        <w:pStyle w:val="Normal"/>
        <w:numPr>
          <w:ilvl w:val="1"/>
          <w:numId w:val="1"/>
        </w:numPr>
        <w:spacing w:lineRule="auto" w:line="240" w:before="0" w:after="0"/>
        <w:jc w:val="both"/>
        <w:rPr>
          <w:rFonts w:ascii="Arial Narrow" w:hAnsi="Arial Narrow" w:cs="Times New Roman"/>
          <w:sz w:val="24"/>
          <w:szCs w:val="24"/>
        </w:rPr>
      </w:pPr>
      <w:r>
        <w:rPr>
          <w:rFonts w:cs="Times New Roman" w:ascii="Arial Narrow" w:hAnsi="Arial Narrow"/>
          <w:sz w:val="24"/>
          <w:szCs w:val="24"/>
        </w:rPr>
        <w:t xml:space="preserve">w placówce opiekuńczo-wychowawczej „Mój Dom” w Ornecie – </w:t>
      </w:r>
      <w:r>
        <w:rPr>
          <w:rFonts w:cs="Times New Roman" w:ascii="Arial Narrow" w:hAnsi="Arial Narrow"/>
          <w:b/>
          <w:sz w:val="24"/>
          <w:szCs w:val="24"/>
        </w:rPr>
        <w:t>7</w:t>
      </w:r>
      <w:r>
        <w:rPr>
          <w:rFonts w:cs="Times New Roman" w:ascii="Arial Narrow" w:hAnsi="Arial Narrow"/>
          <w:sz w:val="24"/>
          <w:szCs w:val="24"/>
        </w:rPr>
        <w:t xml:space="preserve"> dzieci</w:t>
      </w:r>
    </w:p>
    <w:p>
      <w:pPr>
        <w:pStyle w:val="Normal"/>
        <w:spacing w:lineRule="auto" w:line="240" w:before="0" w:after="0"/>
        <w:jc w:val="both"/>
        <w:rPr>
          <w:rFonts w:ascii="Arial Narrow" w:hAnsi="Arial Narrow" w:cs="Times New Roman"/>
          <w:color w:val="000000"/>
          <w:sz w:val="26"/>
          <w:szCs w:val="26"/>
        </w:rPr>
      </w:pPr>
      <w:r>
        <w:rPr>
          <w:rFonts w:cs="Times New Roman" w:ascii="Arial Narrow" w:hAnsi="Arial Narrow"/>
          <w:color w:val="000000"/>
          <w:sz w:val="26"/>
          <w:szCs w:val="26"/>
        </w:rPr>
      </w:r>
    </w:p>
    <w:p>
      <w:pPr>
        <w:pStyle w:val="Normal"/>
        <w:jc w:val="both"/>
        <w:rPr>
          <w:rFonts w:ascii="Arial Narrow" w:hAnsi="Arial Narrow" w:cs="Times New Roman"/>
          <w:b/>
          <w:b/>
          <w:color w:val="000000"/>
          <w:sz w:val="24"/>
          <w:szCs w:val="24"/>
        </w:rPr>
      </w:pPr>
      <w:r>
        <w:rPr>
          <w:rFonts w:cs="Times New Roman" w:ascii="Arial Narrow" w:hAnsi="Arial Narrow"/>
          <w:b/>
          <w:color w:val="000000"/>
          <w:sz w:val="24"/>
          <w:szCs w:val="24"/>
        </w:rPr>
        <w:t>Tabela nr 4. Liczba dzieci oraz koszt ich utrzymania w formach rodzinnej pieczy zastępczej                                       w latach 2015-2016</w:t>
      </w:r>
    </w:p>
    <w:tbl>
      <w:tblPr>
        <w:tblStyle w:val="Tabela-Siatka"/>
        <w:tblW w:w="9493" w:type="dxa"/>
        <w:jc w:val="left"/>
        <w:tblInd w:w="-15" w:type="dxa"/>
        <w:tblCellMar>
          <w:top w:w="0" w:type="dxa"/>
          <w:left w:w="83" w:type="dxa"/>
          <w:bottom w:w="0" w:type="dxa"/>
          <w:right w:w="108" w:type="dxa"/>
        </w:tblCellMar>
        <w:tblLook w:firstRow="1" w:noVBand="1" w:lastRow="0" w:firstColumn="1" w:lastColumn="0" w:noHBand="0" w:val="04a0"/>
      </w:tblPr>
      <w:tblGrid>
        <w:gridCol w:w="2310"/>
        <w:gridCol w:w="1229"/>
        <w:gridCol w:w="1134"/>
        <w:gridCol w:w="3"/>
        <w:gridCol w:w="1276"/>
        <w:gridCol w:w="1131"/>
        <w:gridCol w:w="1"/>
        <w:gridCol w:w="1276"/>
        <w:gridCol w:w="1132"/>
      </w:tblGrid>
      <w:tr>
        <w:trPr/>
        <w:tc>
          <w:tcPr>
            <w:tcW w:w="2310" w:type="dxa"/>
            <w:vMerge w:val="restart"/>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6"/>
                <w:szCs w:val="26"/>
              </w:rPr>
            </w:pPr>
            <w:r>
              <w:rPr>
                <w:rFonts w:cs="Times New Roman" w:ascii="Arial Narrow" w:hAnsi="Arial Narrow"/>
                <w:b/>
                <w:i/>
                <w:color w:val="000000"/>
                <w:sz w:val="26"/>
                <w:szCs w:val="26"/>
              </w:rPr>
              <w:t xml:space="preserve"> </w:t>
            </w:r>
            <w:r>
              <w:rPr>
                <w:rFonts w:cs="Times New Roman" w:ascii="Arial Narrow" w:hAnsi="Arial Narrow"/>
                <w:b/>
                <w:i/>
                <w:color w:val="000000"/>
                <w:sz w:val="26"/>
                <w:szCs w:val="26"/>
              </w:rPr>
              <w:t>Forma rodzinnej</w:t>
            </w:r>
          </w:p>
          <w:p>
            <w:pPr>
              <w:pStyle w:val="Normal"/>
              <w:spacing w:lineRule="auto" w:line="240" w:before="0" w:after="0"/>
              <w:jc w:val="right"/>
              <w:rPr>
                <w:rFonts w:ascii="Arial Narrow" w:hAnsi="Arial Narrow" w:cs="Times New Roman"/>
                <w:b/>
                <w:b/>
                <w:i/>
                <w:i/>
                <w:color w:val="000000"/>
                <w:sz w:val="26"/>
                <w:szCs w:val="26"/>
              </w:rPr>
            </w:pPr>
            <w:r>
              <w:rPr>
                <w:rFonts w:cs="Times New Roman" w:ascii="Arial Narrow" w:hAnsi="Arial Narrow"/>
                <w:b/>
                <w:i/>
                <w:color w:val="000000"/>
                <w:sz w:val="26"/>
                <w:szCs w:val="26"/>
              </w:rPr>
              <w:t xml:space="preserve"> </w:t>
            </w:r>
            <w:r>
              <w:rPr>
                <w:rFonts w:cs="Times New Roman" w:ascii="Arial Narrow" w:hAnsi="Arial Narrow"/>
                <w:b/>
                <w:i/>
                <w:color w:val="000000"/>
                <w:sz w:val="26"/>
                <w:szCs w:val="26"/>
              </w:rPr>
              <w:t>pieczy zastępczej</w:t>
            </w:r>
          </w:p>
        </w:tc>
        <w:tc>
          <w:tcPr>
            <w:tcW w:w="2363" w:type="dxa"/>
            <w:gridSpan w:val="2"/>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b/>
                <w:b/>
                <w:i/>
                <w:i/>
                <w:color w:val="000000"/>
                <w:sz w:val="26"/>
                <w:szCs w:val="26"/>
              </w:rPr>
            </w:pPr>
            <w:r>
              <w:rPr>
                <w:rFonts w:cs="Times New Roman" w:ascii="Arial Narrow" w:hAnsi="Arial Narrow"/>
                <w:b/>
                <w:i/>
                <w:color w:val="000000"/>
                <w:sz w:val="26"/>
                <w:szCs w:val="26"/>
              </w:rPr>
              <w:t>Liczba rodzin</w:t>
            </w:r>
          </w:p>
        </w:tc>
        <w:tc>
          <w:tcPr>
            <w:tcW w:w="2410" w:type="dxa"/>
            <w:gridSpan w:val="3"/>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b/>
                <w:b/>
                <w:i/>
                <w:i/>
                <w:color w:val="000000"/>
                <w:sz w:val="26"/>
                <w:szCs w:val="26"/>
              </w:rPr>
            </w:pPr>
            <w:r>
              <w:rPr>
                <w:rFonts w:cs="Times New Roman" w:ascii="Arial Narrow" w:hAnsi="Arial Narrow"/>
                <w:b/>
                <w:i/>
                <w:color w:val="000000"/>
                <w:sz w:val="26"/>
                <w:szCs w:val="26"/>
              </w:rPr>
              <w:t>Liczba dzieci</w:t>
            </w:r>
          </w:p>
        </w:tc>
        <w:tc>
          <w:tcPr>
            <w:tcW w:w="2409" w:type="dxa"/>
            <w:gridSpan w:val="3"/>
            <w:tcBorders/>
            <w:shd w:color="auto" w:fill="D9D9D9" w:themeFill="background1" w:themeFillShade="d9" w:val="clear"/>
            <w:tcMar>
              <w:left w:w="83" w:type="dxa"/>
            </w:tcMar>
          </w:tcPr>
          <w:p>
            <w:pPr>
              <w:pStyle w:val="Normal"/>
              <w:spacing w:lineRule="auto" w:line="240" w:before="0" w:after="0"/>
              <w:rPr>
                <w:rFonts w:ascii="Arial Narrow" w:hAnsi="Arial Narrow" w:cs="Times New Roman"/>
                <w:b/>
                <w:b/>
                <w:i/>
                <w:i/>
                <w:color w:val="000000"/>
                <w:sz w:val="26"/>
                <w:szCs w:val="26"/>
              </w:rPr>
            </w:pPr>
            <w:r>
              <w:rPr>
                <w:rFonts w:cs="Times New Roman" w:ascii="Arial Narrow" w:hAnsi="Arial Narrow"/>
                <w:b/>
                <w:i/>
                <w:color w:val="000000"/>
                <w:sz w:val="26"/>
                <w:szCs w:val="26"/>
              </w:rPr>
              <w:t>Koszt w zł i gr</w:t>
            </w:r>
          </w:p>
        </w:tc>
      </w:tr>
      <w:tr>
        <w:trPr/>
        <w:tc>
          <w:tcPr>
            <w:tcW w:w="2310" w:type="dxa"/>
            <w:vMerge w:val="continue"/>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6"/>
                <w:szCs w:val="26"/>
              </w:rPr>
            </w:pPr>
            <w:r>
              <w:rPr>
                <w:rFonts w:cs="Times New Roman" w:ascii="Arial Narrow" w:hAnsi="Arial Narrow"/>
                <w:b/>
                <w:i/>
                <w:color w:val="000000"/>
                <w:sz w:val="26"/>
                <w:szCs w:val="26"/>
              </w:rPr>
            </w:r>
          </w:p>
        </w:tc>
        <w:tc>
          <w:tcPr>
            <w:tcW w:w="1229" w:type="dxa"/>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4"/>
                <w:szCs w:val="24"/>
              </w:rPr>
            </w:pPr>
            <w:r>
              <w:rPr>
                <w:rFonts w:cs="Times New Roman" w:ascii="Arial Narrow" w:hAnsi="Arial Narrow"/>
                <w:b/>
                <w:i/>
                <w:color w:val="000000"/>
                <w:sz w:val="24"/>
                <w:szCs w:val="24"/>
              </w:rPr>
              <w:t>2015r.</w:t>
            </w:r>
          </w:p>
        </w:tc>
        <w:tc>
          <w:tcPr>
            <w:tcW w:w="1137" w:type="dxa"/>
            <w:gridSpan w:val="2"/>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4"/>
                <w:szCs w:val="24"/>
              </w:rPr>
            </w:pPr>
            <w:r>
              <w:rPr>
                <w:rFonts w:cs="Times New Roman" w:ascii="Arial Narrow" w:hAnsi="Arial Narrow"/>
                <w:b/>
                <w:i/>
                <w:color w:val="000000"/>
                <w:sz w:val="24"/>
                <w:szCs w:val="24"/>
              </w:rPr>
              <w:t>2016r.</w:t>
            </w:r>
          </w:p>
        </w:tc>
        <w:tc>
          <w:tcPr>
            <w:tcW w:w="1276" w:type="dxa"/>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4"/>
                <w:szCs w:val="24"/>
              </w:rPr>
            </w:pPr>
            <w:r>
              <w:rPr>
                <w:rFonts w:cs="Times New Roman" w:ascii="Arial Narrow" w:hAnsi="Arial Narrow"/>
                <w:b/>
                <w:i/>
                <w:color w:val="000000"/>
                <w:sz w:val="24"/>
                <w:szCs w:val="24"/>
              </w:rPr>
              <w:t>2015r</w:t>
            </w:r>
          </w:p>
        </w:tc>
        <w:tc>
          <w:tcPr>
            <w:tcW w:w="1132" w:type="dxa"/>
            <w:gridSpan w:val="2"/>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4"/>
                <w:szCs w:val="24"/>
              </w:rPr>
            </w:pPr>
            <w:r>
              <w:rPr>
                <w:rFonts w:cs="Times New Roman" w:ascii="Arial Narrow" w:hAnsi="Arial Narrow"/>
                <w:b/>
                <w:i/>
                <w:color w:val="000000"/>
                <w:sz w:val="24"/>
                <w:szCs w:val="24"/>
              </w:rPr>
              <w:t>2016r.</w:t>
            </w:r>
          </w:p>
        </w:tc>
        <w:tc>
          <w:tcPr>
            <w:tcW w:w="1276" w:type="dxa"/>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4"/>
                <w:szCs w:val="24"/>
              </w:rPr>
            </w:pPr>
            <w:r>
              <w:rPr>
                <w:rFonts w:cs="Times New Roman" w:ascii="Arial Narrow" w:hAnsi="Arial Narrow"/>
                <w:b/>
                <w:i/>
                <w:color w:val="000000"/>
                <w:sz w:val="24"/>
                <w:szCs w:val="24"/>
              </w:rPr>
              <w:t>2015r.</w:t>
            </w:r>
          </w:p>
        </w:tc>
        <w:tc>
          <w:tcPr>
            <w:tcW w:w="1132" w:type="dxa"/>
            <w:tcBorders/>
            <w:shd w:color="auto" w:fill="D9D9D9" w:themeFill="background1" w:themeFillShade="d9" w:val="clear"/>
            <w:tcMar>
              <w:left w:w="83" w:type="dxa"/>
            </w:tcMar>
          </w:tcPr>
          <w:p>
            <w:pPr>
              <w:pStyle w:val="Normal"/>
              <w:spacing w:lineRule="auto" w:line="240" w:before="0" w:after="0"/>
              <w:jc w:val="right"/>
              <w:rPr>
                <w:rFonts w:ascii="Arial Narrow" w:hAnsi="Arial Narrow" w:cs="Times New Roman"/>
                <w:b/>
                <w:b/>
                <w:i/>
                <w:i/>
                <w:color w:val="000000"/>
                <w:sz w:val="24"/>
                <w:szCs w:val="24"/>
              </w:rPr>
            </w:pPr>
            <w:r>
              <w:rPr>
                <w:rFonts w:cs="Times New Roman" w:ascii="Arial Narrow" w:hAnsi="Arial Narrow"/>
                <w:b/>
                <w:i/>
                <w:color w:val="000000"/>
                <w:sz w:val="24"/>
                <w:szCs w:val="24"/>
              </w:rPr>
              <w:t>2016r.</w:t>
            </w:r>
          </w:p>
        </w:tc>
      </w:tr>
      <w:tr>
        <w:trPr/>
        <w:tc>
          <w:tcPr>
            <w:tcW w:w="2310" w:type="dxa"/>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1</w:t>
            </w:r>
          </w:p>
        </w:tc>
        <w:tc>
          <w:tcPr>
            <w:tcW w:w="1229" w:type="dxa"/>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2</w:t>
            </w:r>
          </w:p>
        </w:tc>
        <w:tc>
          <w:tcPr>
            <w:tcW w:w="1137" w:type="dxa"/>
            <w:gridSpan w:val="2"/>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3</w:t>
            </w:r>
          </w:p>
        </w:tc>
        <w:tc>
          <w:tcPr>
            <w:tcW w:w="1276" w:type="dxa"/>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4</w:t>
            </w:r>
          </w:p>
        </w:tc>
        <w:tc>
          <w:tcPr>
            <w:tcW w:w="1132" w:type="dxa"/>
            <w:gridSpan w:val="2"/>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5</w:t>
            </w:r>
          </w:p>
        </w:tc>
        <w:tc>
          <w:tcPr>
            <w:tcW w:w="1276" w:type="dxa"/>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6</w:t>
            </w:r>
          </w:p>
        </w:tc>
        <w:tc>
          <w:tcPr>
            <w:tcW w:w="1132" w:type="dxa"/>
            <w:tcBorders/>
            <w:shd w:color="auto" w:fill="D9D9D9" w:themeFill="background1" w:themeFillShade="d9" w:val="clear"/>
            <w:tcMar>
              <w:left w:w="83" w:type="dxa"/>
            </w:tcMar>
          </w:tcPr>
          <w:p>
            <w:pPr>
              <w:pStyle w:val="Normal"/>
              <w:spacing w:lineRule="auto" w:line="240" w:before="0" w:after="0"/>
              <w:jc w:val="center"/>
              <w:rPr>
                <w:rFonts w:ascii="Arial Narrow" w:hAnsi="Arial Narrow" w:cs="Times New Roman"/>
                <w:color w:val="000000"/>
              </w:rPr>
            </w:pPr>
            <w:r>
              <w:rPr>
                <w:rFonts w:cs="Times New Roman" w:ascii="Arial Narrow" w:hAnsi="Arial Narrow"/>
                <w:color w:val="000000"/>
              </w:rPr>
              <w:t>7</w:t>
            </w:r>
          </w:p>
        </w:tc>
      </w:tr>
      <w:tr>
        <w:trPr/>
        <w:tc>
          <w:tcPr>
            <w:tcW w:w="2310" w:type="dxa"/>
            <w:tcBorders/>
            <w:shd w:fill="auto" w:val="clear"/>
            <w:tcMar>
              <w:left w:w="83" w:type="dxa"/>
            </w:tcMar>
          </w:tcPr>
          <w:p>
            <w:pPr>
              <w:pStyle w:val="Normal"/>
              <w:spacing w:lineRule="auto" w:line="240" w:before="0" w:after="0"/>
              <w:jc w:val="both"/>
              <w:rPr>
                <w:rFonts w:ascii="Arial Narrow" w:hAnsi="Arial Narrow" w:cs="Times New Roman"/>
                <w:color w:val="000000"/>
              </w:rPr>
            </w:pPr>
            <w:r>
              <w:rPr>
                <w:rFonts w:cs="Times New Roman" w:ascii="Arial Narrow" w:hAnsi="Arial Narrow"/>
                <w:color w:val="000000"/>
              </w:rPr>
              <w:t>Rodziny zastępcze spokrewnione</w:t>
            </w:r>
          </w:p>
        </w:tc>
        <w:tc>
          <w:tcPr>
            <w:tcW w:w="1229"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4</w:t>
            </w:r>
          </w:p>
        </w:tc>
        <w:tc>
          <w:tcPr>
            <w:tcW w:w="1137"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6</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5</w:t>
            </w:r>
          </w:p>
        </w:tc>
        <w:tc>
          <w:tcPr>
            <w:tcW w:w="1132"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7</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8.794,17</w:t>
            </w:r>
          </w:p>
        </w:tc>
        <w:tc>
          <w:tcPr>
            <w:tcW w:w="1132"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14.173,87</w:t>
            </w:r>
          </w:p>
        </w:tc>
      </w:tr>
      <w:tr>
        <w:trPr/>
        <w:tc>
          <w:tcPr>
            <w:tcW w:w="2310" w:type="dxa"/>
            <w:tcBorders/>
            <w:shd w:fill="auto" w:val="clear"/>
            <w:tcMar>
              <w:left w:w="83" w:type="dxa"/>
            </w:tcMar>
          </w:tcPr>
          <w:p>
            <w:pPr>
              <w:pStyle w:val="Normal"/>
              <w:spacing w:lineRule="auto" w:line="240" w:before="0" w:after="0"/>
              <w:jc w:val="both"/>
              <w:rPr>
                <w:rFonts w:ascii="Arial Narrow" w:hAnsi="Arial Narrow" w:cs="Times New Roman"/>
                <w:color w:val="000000"/>
              </w:rPr>
            </w:pPr>
            <w:r>
              <w:rPr>
                <w:rFonts w:cs="Times New Roman" w:ascii="Arial Narrow" w:hAnsi="Arial Narrow"/>
                <w:color w:val="000000"/>
              </w:rPr>
              <w:t>Rodziny zastępcze niespokrewnione</w:t>
            </w:r>
          </w:p>
        </w:tc>
        <w:tc>
          <w:tcPr>
            <w:tcW w:w="1229"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137"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132"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132"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r>
      <w:tr>
        <w:trPr/>
        <w:tc>
          <w:tcPr>
            <w:tcW w:w="2310" w:type="dxa"/>
            <w:tcBorders/>
            <w:shd w:fill="auto" w:val="clear"/>
            <w:tcMar>
              <w:left w:w="83" w:type="dxa"/>
            </w:tcMar>
          </w:tcPr>
          <w:p>
            <w:pPr>
              <w:pStyle w:val="Normal"/>
              <w:spacing w:lineRule="auto" w:line="240" w:before="0" w:after="0"/>
              <w:jc w:val="both"/>
              <w:rPr>
                <w:rFonts w:ascii="Arial Narrow" w:hAnsi="Arial Narrow" w:cs="Times New Roman"/>
                <w:color w:val="000000"/>
              </w:rPr>
            </w:pPr>
            <w:r>
              <w:rPr>
                <w:rFonts w:cs="Times New Roman" w:ascii="Arial Narrow" w:hAnsi="Arial Narrow"/>
                <w:color w:val="000000"/>
              </w:rPr>
              <w:t>Rodziny zastępcze zawodowe, w tym wykonujące funkcję pogotowia rodzinnego</w:t>
            </w:r>
          </w:p>
        </w:tc>
        <w:tc>
          <w:tcPr>
            <w:tcW w:w="1229"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w:t>
            </w:r>
          </w:p>
        </w:tc>
        <w:tc>
          <w:tcPr>
            <w:tcW w:w="1137"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2</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w:t>
            </w:r>
          </w:p>
        </w:tc>
        <w:tc>
          <w:tcPr>
            <w:tcW w:w="1132"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4</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4.950,37</w:t>
            </w:r>
          </w:p>
        </w:tc>
        <w:tc>
          <w:tcPr>
            <w:tcW w:w="1132"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12.046,10</w:t>
            </w:r>
          </w:p>
        </w:tc>
      </w:tr>
      <w:tr>
        <w:trPr/>
        <w:tc>
          <w:tcPr>
            <w:tcW w:w="2310" w:type="dxa"/>
            <w:tcBorders/>
            <w:shd w:fill="auto" w:val="clear"/>
            <w:tcMar>
              <w:left w:w="83" w:type="dxa"/>
            </w:tcMar>
          </w:tcPr>
          <w:p>
            <w:pPr>
              <w:pStyle w:val="Normal"/>
              <w:spacing w:lineRule="auto" w:line="240" w:before="0" w:after="0"/>
              <w:jc w:val="both"/>
              <w:rPr>
                <w:rFonts w:ascii="Arial Narrow" w:hAnsi="Arial Narrow" w:cs="Times New Roman"/>
                <w:color w:val="000000"/>
              </w:rPr>
            </w:pPr>
            <w:r>
              <w:rPr>
                <w:rFonts w:cs="Times New Roman" w:ascii="Arial Narrow" w:hAnsi="Arial Narrow"/>
                <w:color w:val="000000"/>
              </w:rPr>
              <w:t>Rodzinny dom dziecka</w:t>
            </w:r>
          </w:p>
        </w:tc>
        <w:tc>
          <w:tcPr>
            <w:tcW w:w="1229"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w:t>
            </w:r>
          </w:p>
        </w:tc>
        <w:tc>
          <w:tcPr>
            <w:tcW w:w="1137"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2</w:t>
            </w:r>
          </w:p>
        </w:tc>
        <w:tc>
          <w:tcPr>
            <w:tcW w:w="1132"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5.383,93</w:t>
            </w:r>
          </w:p>
        </w:tc>
        <w:tc>
          <w:tcPr>
            <w:tcW w:w="1132"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0</w:t>
            </w:r>
          </w:p>
        </w:tc>
      </w:tr>
      <w:tr>
        <w:trPr/>
        <w:tc>
          <w:tcPr>
            <w:tcW w:w="2310" w:type="dxa"/>
            <w:tcBorders/>
            <w:shd w:fill="auto" w:val="clear"/>
            <w:tcMar>
              <w:left w:w="83" w:type="dxa"/>
            </w:tcMar>
          </w:tcPr>
          <w:p>
            <w:pPr>
              <w:pStyle w:val="Normal"/>
              <w:spacing w:lineRule="auto" w:line="240" w:before="0" w:after="0"/>
              <w:jc w:val="both"/>
              <w:rPr>
                <w:rFonts w:ascii="Arial Narrow" w:hAnsi="Arial Narrow" w:cs="Times New Roman"/>
                <w:color w:val="000000"/>
              </w:rPr>
            </w:pPr>
            <w:r>
              <w:rPr>
                <w:rFonts w:cs="Times New Roman" w:ascii="Arial Narrow" w:hAnsi="Arial Narrow"/>
                <w:color w:val="000000"/>
              </w:rPr>
              <w:t>Placówka opiekuńczo-wychowawcza „Twój Dom”</w:t>
            </w:r>
          </w:p>
        </w:tc>
        <w:tc>
          <w:tcPr>
            <w:tcW w:w="1229"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w:t>
            </w:r>
          </w:p>
        </w:tc>
        <w:tc>
          <w:tcPr>
            <w:tcW w:w="1137"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5</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w:t>
            </w:r>
          </w:p>
        </w:tc>
        <w:tc>
          <w:tcPr>
            <w:tcW w:w="1132"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7</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4.746,53</w:t>
            </w:r>
          </w:p>
        </w:tc>
        <w:tc>
          <w:tcPr>
            <w:tcW w:w="1132"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25.992,06</w:t>
            </w:r>
          </w:p>
        </w:tc>
      </w:tr>
      <w:tr>
        <w:trPr/>
        <w:tc>
          <w:tcPr>
            <w:tcW w:w="2310" w:type="dxa"/>
            <w:tcBorders/>
            <w:shd w:fill="auto" w:val="clear"/>
            <w:tcMar>
              <w:left w:w="83" w:type="dxa"/>
            </w:tcMar>
          </w:tcPr>
          <w:p>
            <w:pPr>
              <w:pStyle w:val="Normal"/>
              <w:spacing w:lineRule="auto" w:line="240" w:before="0" w:after="0"/>
              <w:jc w:val="both"/>
              <w:rPr>
                <w:rFonts w:ascii="Arial Narrow" w:hAnsi="Arial Narrow" w:cs="Times New Roman"/>
                <w:color w:val="000000"/>
              </w:rPr>
            </w:pPr>
            <w:r>
              <w:rPr>
                <w:rFonts w:cs="Times New Roman" w:ascii="Arial Narrow" w:hAnsi="Arial Narrow"/>
                <w:color w:val="000000"/>
              </w:rPr>
              <w:t>Łącznie</w:t>
            </w:r>
          </w:p>
        </w:tc>
        <w:tc>
          <w:tcPr>
            <w:tcW w:w="1229"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7</w:t>
            </w:r>
          </w:p>
        </w:tc>
        <w:tc>
          <w:tcPr>
            <w:tcW w:w="1137"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13</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9</w:t>
            </w:r>
          </w:p>
        </w:tc>
        <w:tc>
          <w:tcPr>
            <w:tcW w:w="1132" w:type="dxa"/>
            <w:gridSpan w:val="2"/>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18</w:t>
            </w:r>
          </w:p>
        </w:tc>
        <w:tc>
          <w:tcPr>
            <w:tcW w:w="1276"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23.875,00</w:t>
            </w:r>
          </w:p>
        </w:tc>
        <w:tc>
          <w:tcPr>
            <w:tcW w:w="1132" w:type="dxa"/>
            <w:tcBorders/>
            <w:shd w:fill="auto" w:val="clear"/>
            <w:tcMar>
              <w:left w:w="83" w:type="dxa"/>
            </w:tcMar>
          </w:tcPr>
          <w:p>
            <w:pPr>
              <w:pStyle w:val="Normal"/>
              <w:spacing w:lineRule="auto" w:line="240" w:before="0" w:after="0"/>
              <w:jc w:val="center"/>
              <w:rPr>
                <w:rFonts w:ascii="Arial Narrow" w:hAnsi="Arial Narrow" w:cs="Times New Roman"/>
                <w:b/>
                <w:b/>
                <w:color w:val="000000"/>
              </w:rPr>
            </w:pPr>
            <w:r>
              <w:rPr>
                <w:rFonts w:cs="Times New Roman" w:ascii="Arial Narrow" w:hAnsi="Arial Narrow"/>
                <w:b/>
                <w:color w:val="000000"/>
              </w:rPr>
              <w:t>52.212,03</w:t>
            </w:r>
          </w:p>
        </w:tc>
      </w:tr>
    </w:tbl>
    <w:p>
      <w:pPr>
        <w:pStyle w:val="Normal"/>
        <w:spacing w:lineRule="auto" w:line="240" w:before="0" w:after="0"/>
        <w:jc w:val="both"/>
        <w:rPr>
          <w:rFonts w:ascii="Arial Narrow" w:hAnsi="Arial Narrow" w:cs="Times New Roman"/>
          <w:color w:val="000000"/>
          <w:sz w:val="26"/>
          <w:szCs w:val="26"/>
        </w:rPr>
      </w:pPr>
      <w:r>
        <w:rPr>
          <w:rFonts w:cs="Times New Roman" w:ascii="Arial Narrow" w:hAnsi="Arial Narrow"/>
          <w:color w:val="000000"/>
          <w:sz w:val="26"/>
          <w:szCs w:val="26"/>
        </w:rPr>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Łączny koszt utrzymania dzieci w placówkach ze strony gminy wyniósł: w 2015r.</w:t>
      </w:r>
      <w:r>
        <w:rPr>
          <w:rFonts w:cs="Times New Roman" w:ascii="Arial Narrow" w:hAnsi="Arial Narrow"/>
          <w:b/>
          <w:color w:val="000000"/>
        </w:rPr>
        <w:t xml:space="preserve"> 23.875,00</w:t>
      </w:r>
      <w:r>
        <w:rPr>
          <w:rFonts w:cs="Times New Roman" w:ascii="Arial Narrow" w:hAnsi="Arial Narrow"/>
          <w:color w:val="000000"/>
          <w:sz w:val="24"/>
          <w:szCs w:val="24"/>
        </w:rPr>
        <w:t xml:space="preserve"> zł, w 2016r. </w:t>
      </w:r>
      <w:r>
        <w:rPr>
          <w:rFonts w:cs="Times New Roman" w:ascii="Arial Narrow" w:hAnsi="Arial Narrow"/>
          <w:b/>
          <w:color w:val="000000"/>
        </w:rPr>
        <w:t xml:space="preserve">52.212,03 </w:t>
      </w:r>
      <w:r>
        <w:rPr>
          <w:rFonts w:cs="Times New Roman" w:ascii="Arial Narrow" w:hAnsi="Arial Narrow"/>
          <w:color w:val="000000"/>
          <w:sz w:val="24"/>
          <w:szCs w:val="24"/>
        </w:rPr>
        <w:t>zł.</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t xml:space="preserve">Przedłożone wyżej dane dowodzą, iż z roku na rok wzrasta liczba dzieci umieszczanych w placówkach, a tym samym koszty ponoszone z tego tytułu. </w:t>
      </w:r>
    </w:p>
    <w:p>
      <w:pPr>
        <w:pStyle w:val="Normal"/>
        <w:spacing w:lineRule="auto" w:line="240" w:before="0" w:after="0"/>
        <w:jc w:val="both"/>
        <w:rPr>
          <w:rFonts w:ascii="Arial Narrow" w:hAnsi="Arial Narrow" w:cs="Times New Roman"/>
          <w:color w:val="000000"/>
          <w:sz w:val="24"/>
          <w:szCs w:val="24"/>
        </w:rPr>
      </w:pPr>
      <w:r>
        <w:rPr>
          <w:rFonts w:cs="Times New Roman" w:ascii="Arial Narrow" w:hAnsi="Arial Narrow"/>
          <w:color w:val="000000"/>
          <w:sz w:val="24"/>
          <w:szCs w:val="24"/>
        </w:rPr>
      </w:r>
    </w:p>
    <w:p>
      <w:pPr>
        <w:pStyle w:val="Normal"/>
        <w:spacing w:lineRule="auto" w:line="360"/>
        <w:jc w:val="both"/>
        <w:rPr>
          <w:rFonts w:ascii="Arial Narrow" w:hAnsi="Arial Narrow" w:cs="Times New Roman"/>
          <w:b/>
          <w:b/>
          <w:bCs/>
          <w:sz w:val="26"/>
          <w:szCs w:val="26"/>
        </w:rPr>
      </w:pPr>
      <w:r>
        <w:rPr>
          <w:rFonts w:cs="Times New Roman" w:ascii="Arial Narrow" w:hAnsi="Arial Narrow"/>
          <w:b/>
          <w:bCs/>
          <w:sz w:val="26"/>
          <w:szCs w:val="26"/>
        </w:rPr>
        <w:t>5. Zasoby gminy</w:t>
      </w:r>
    </w:p>
    <w:p>
      <w:pPr>
        <w:pStyle w:val="Normal"/>
        <w:spacing w:lineRule="auto" w:line="240"/>
        <w:ind w:firstLine="709"/>
        <w:jc w:val="both"/>
        <w:rPr>
          <w:rFonts w:ascii="Arial Narrow" w:hAnsi="Arial Narrow" w:cs="Times New Roman"/>
          <w:sz w:val="24"/>
          <w:szCs w:val="24"/>
        </w:rPr>
      </w:pPr>
      <w:r>
        <w:rPr>
          <w:rFonts w:cs="Times New Roman" w:ascii="Arial Narrow" w:hAnsi="Arial Narrow"/>
          <w:sz w:val="24"/>
          <w:szCs w:val="24"/>
        </w:rPr>
        <w:t xml:space="preserve">Program wspierania rodziny na lata 2018 - 2020 będzie służył realizacji gminnej polityki rodzinnej. Działania na rzecz dziecka i rodziny realizują instytucje opisane </w:t>
        <w:br/>
        <w:t>w poniższej tabeli.</w:t>
      </w:r>
    </w:p>
    <w:p>
      <w:pPr>
        <w:pStyle w:val="Normal"/>
        <w:spacing w:lineRule="auto" w:line="240"/>
        <w:ind w:firstLine="709"/>
        <w:jc w:val="both"/>
        <w:rPr>
          <w:rFonts w:ascii="Arial Narrow" w:hAnsi="Arial Narrow" w:cs="Times New Roman"/>
          <w:sz w:val="24"/>
          <w:szCs w:val="24"/>
        </w:rPr>
      </w:pPr>
      <w:r>
        <w:rPr>
          <w:rFonts w:cs="Times New Roman" w:ascii="Arial Narrow" w:hAnsi="Arial Narrow"/>
          <w:sz w:val="24"/>
          <w:szCs w:val="24"/>
        </w:rPr>
      </w:r>
    </w:p>
    <w:p>
      <w:pPr>
        <w:pStyle w:val="Normal"/>
        <w:spacing w:lineRule="auto" w:line="240"/>
        <w:jc w:val="both"/>
        <w:rPr>
          <w:rFonts w:ascii="Arial Narrow" w:hAnsi="Arial Narrow" w:cs="Times New Roman"/>
          <w:b/>
          <w:b/>
          <w:sz w:val="24"/>
          <w:szCs w:val="24"/>
        </w:rPr>
      </w:pPr>
      <w:r>
        <w:rPr>
          <w:rFonts w:cs="Times New Roman" w:ascii="Arial Narrow" w:hAnsi="Arial Narrow"/>
          <w:b/>
          <w:sz w:val="24"/>
          <w:szCs w:val="24"/>
        </w:rPr>
        <w:t>Tabela nr 5. Instytucje i organizacje działające na rzecz dziecka i rodziny w Gminie  Lidzbark Warmiński</w:t>
      </w:r>
    </w:p>
    <w:p>
      <w:pPr>
        <w:pStyle w:val="Normal"/>
        <w:spacing w:lineRule="auto" w:line="240"/>
        <w:jc w:val="both"/>
        <w:rPr>
          <w:rFonts w:ascii="Arial Narrow" w:hAnsi="Arial Narrow" w:cs="Times New Roman"/>
          <w:b/>
          <w:b/>
          <w:sz w:val="24"/>
          <w:szCs w:val="24"/>
        </w:rPr>
      </w:pPr>
      <w:r>
        <w:rPr>
          <w:rFonts w:cs="Times New Roman" w:ascii="Arial Narrow" w:hAnsi="Arial Narrow"/>
          <w:b/>
          <w:sz w:val="24"/>
          <w:szCs w:val="24"/>
        </w:rPr>
      </w:r>
    </w:p>
    <w:tbl>
      <w:tblPr>
        <w:tblW w:w="9062" w:type="dxa"/>
        <w:jc w:val="center"/>
        <w:tblInd w:w="0" w:type="dxa"/>
        <w:tblBorders>
          <w:top w:val="single" w:sz="4" w:space="0" w:color="00000A"/>
          <w:left w:val="single" w:sz="4" w:space="0" w:color="00000A"/>
          <w:right w:val="single" w:sz="4" w:space="0" w:color="00000A"/>
          <w:insideV w:val="single" w:sz="4" w:space="0" w:color="00000A"/>
        </w:tblBorders>
        <w:tblCellMar>
          <w:top w:w="0" w:type="dxa"/>
          <w:left w:w="40" w:type="dxa"/>
          <w:bottom w:w="0" w:type="dxa"/>
          <w:right w:w="70" w:type="dxa"/>
        </w:tblCellMar>
        <w:tblLook w:firstRow="0" w:noVBand="0" w:lastRow="0" w:firstColumn="0" w:lastColumn="0" w:noHBand="0" w:val="0000"/>
      </w:tblPr>
      <w:tblGrid>
        <w:gridCol w:w="4105"/>
        <w:gridCol w:w="4956"/>
      </w:tblGrid>
      <w:tr>
        <w:trPr>
          <w:trHeight w:val="100" w:hRule="atLeast"/>
        </w:trPr>
        <w:tc>
          <w:tcPr>
            <w:tcW w:w="4105" w:type="dxa"/>
            <w:tcBorders>
              <w:top w:val="single" w:sz="4" w:space="0" w:color="00000A"/>
              <w:left w:val="single" w:sz="4" w:space="0" w:color="00000A"/>
              <w:right w:val="single" w:sz="4" w:space="0" w:color="00000A"/>
              <w:insideV w:val="single" w:sz="4" w:space="0" w:color="00000A"/>
            </w:tcBorders>
            <w:shd w:color="auto" w:fill="D9D9D9" w:themeFill="background1" w:themeFillShade="d9" w:val="clear"/>
            <w:tcMar>
              <w:left w:w="40" w:type="dxa"/>
            </w:tcMar>
          </w:tcPr>
          <w:p>
            <w:pPr>
              <w:pStyle w:val="Normal"/>
              <w:spacing w:lineRule="auto" w:line="240" w:before="0" w:after="0"/>
              <w:jc w:val="center"/>
              <w:rPr>
                <w:rFonts w:ascii="Arial Narrow" w:hAnsi="Arial Narrow" w:eastAsia="Calibri" w:cs="Times New Roman"/>
                <w:b/>
                <w:b/>
                <w:sz w:val="28"/>
                <w:szCs w:val="28"/>
              </w:rPr>
            </w:pPr>
            <w:r>
              <w:rPr>
                <w:rFonts w:eastAsia="Calibri" w:cs="Times New Roman" w:ascii="Arial Narrow" w:hAnsi="Arial Narrow"/>
                <w:b/>
                <w:sz w:val="28"/>
                <w:szCs w:val="28"/>
              </w:rPr>
              <w:t>Nazwa i adres instytucji</w:t>
            </w:r>
          </w:p>
          <w:p>
            <w:pPr>
              <w:pStyle w:val="Normal"/>
              <w:spacing w:lineRule="auto" w:line="240" w:before="0" w:after="0"/>
              <w:jc w:val="center"/>
              <w:rPr>
                <w:rFonts w:ascii="Arial Narrow" w:hAnsi="Arial Narrow" w:eastAsia="Calibri" w:cs="Times New Roman"/>
                <w:b/>
                <w:b/>
                <w:sz w:val="28"/>
                <w:szCs w:val="28"/>
              </w:rPr>
            </w:pPr>
            <w:r>
              <w:rPr>
                <w:rFonts w:eastAsia="Calibri" w:cs="Times New Roman" w:ascii="Arial Narrow" w:hAnsi="Arial Narrow"/>
                <w:b/>
                <w:sz w:val="28"/>
                <w:szCs w:val="28"/>
              </w:rPr>
            </w:r>
          </w:p>
        </w:tc>
        <w:tc>
          <w:tcPr>
            <w:tcW w:w="4956" w:type="dxa"/>
            <w:tcBorders>
              <w:top w:val="single" w:sz="4" w:space="0" w:color="00000A"/>
              <w:left w:val="single" w:sz="4" w:space="0" w:color="00000A"/>
              <w:right w:val="single" w:sz="4" w:space="0" w:color="00000A"/>
              <w:insideV w:val="single" w:sz="4" w:space="0" w:color="00000A"/>
            </w:tcBorders>
            <w:shd w:color="auto" w:fill="D9D9D9" w:themeFill="background1" w:themeFillShade="d9" w:val="clear"/>
            <w:tcMar>
              <w:left w:w="40" w:type="dxa"/>
            </w:tcMar>
          </w:tcPr>
          <w:p>
            <w:pPr>
              <w:pStyle w:val="Normal"/>
              <w:spacing w:lineRule="auto" w:line="240" w:before="0" w:after="0"/>
              <w:jc w:val="center"/>
              <w:rPr>
                <w:rFonts w:ascii="Arial Narrow" w:hAnsi="Arial Narrow" w:eastAsia="Calibri" w:cs="Times New Roman"/>
                <w:b/>
                <w:b/>
                <w:sz w:val="28"/>
                <w:szCs w:val="28"/>
              </w:rPr>
            </w:pPr>
            <w:r>
              <w:rPr>
                <w:rFonts w:eastAsia="Calibri" w:cs="Times New Roman" w:ascii="Arial Narrow" w:hAnsi="Arial Narrow"/>
                <w:b/>
                <w:sz w:val="28"/>
                <w:szCs w:val="28"/>
              </w:rPr>
              <w:t>Działania</w:t>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Gminny Ośrodek Pomocy Społecznej -  Dział Pomocy Społecznej, ul. Krasickiego 1, 11-100 Lidzbark Warmiński              </w:t>
            </w:r>
          </w:p>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jc w:val="both"/>
              <w:rPr>
                <w:rFonts w:ascii="Arial Narrow" w:hAnsi="Arial Narrow" w:eastAsia="Calibri" w:cs="Times New Roman"/>
                <w:sz w:val="24"/>
                <w:szCs w:val="24"/>
              </w:rPr>
            </w:pPr>
            <w:r>
              <w:rPr>
                <w:rFonts w:eastAsia="Calibri" w:cs="Times New Roman" w:ascii="Arial Narrow" w:hAnsi="Arial Narrow"/>
                <w:sz w:val="24"/>
                <w:szCs w:val="24"/>
              </w:rPr>
              <w:t xml:space="preserve">Przyznawanie i wypłacanie zasiłków pieniężnych, pomocy rzeczowej, świadczenie pracy socjalnej,  dożywianie dzieci w szkołach, pomoc i wsparcie asystenta rodziny, aktywizacja społeczno-zawodowa, wspieranie aktywności lokalnej, zagospodarowanie czasu wolnego dla dzieci  i młodzieży (działalność świetlic środowiskowych oraz realizacja programów z Funduszu Europejskich), dowozy  dzieci niepełnosprawnych do szkół oraz osób dorosłych niepełnosprawnych członków rodzin do placówek służby zdrowia.                                                     </w:t>
            </w:r>
          </w:p>
          <w:p>
            <w:pPr>
              <w:pStyle w:val="Normal"/>
              <w:spacing w:lineRule="auto" w:line="24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r>
          </w:p>
        </w:tc>
      </w:tr>
      <w:tr>
        <w:trPr/>
        <w:tc>
          <w:tcPr>
            <w:tcW w:w="4105" w:type="dxa"/>
            <w:tcBorders>
              <w:left w:val="single" w:sz="4" w:space="0" w:color="00000A"/>
              <w:right w:val="single" w:sz="4" w:space="0" w:color="00000A"/>
              <w:insideV w:val="single" w:sz="4" w:space="0" w:color="00000A"/>
            </w:tcBorders>
            <w:shd w:fill="auto" w:val="clear"/>
          </w:tcPr>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t xml:space="preserve">Gminny Ośrodek Pomocy Społecznej  - Dział Świadczeń, ul. Krasickiego 1,     11-100 Lidzbark Warmiński              </w:t>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t>Przyznawanie I wypłacanie świadczeń rodzinnych i alimentacyjnych oraz dodatków, wypłacanie zasiłków i świadczeń pielęgnacyjnych, rodzicielskich, specjalnych zasiłków opiekuńczych oraz karta dużej rodziny. (przyznawanie mieszkań komunalnych, socjalnych, remonty w mieszkaniach komunalnych, wypłacanie stypendiów).</w:t>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Urząd Gminy ul. Krasickiego 1, 11-100 Lidzbark Warmiński              </w:t>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t>Zabezpieczanie potrzeb lokalowych mieszkańców poprzez przyznawanie mieszkań komunalnych                              i socjalnych mieszkańcom Gminy, dokonywanie  remontów i napraw w mieszkaniach komunalnych i socjalnych, wypłacanie stypendiów.</w:t>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Gminna Komisja Profilaktyki                                      i Rozwiązywania Problemów Alkoholowych, ul. Krasickiego 1, 11-100 Lidzbark Warmiński              </w:t>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t xml:space="preserve">Realizowanie programów profilaktycznych                                      i edukacyjnych wspierających wychowanie dzieci                        i młodzieży, poradnictwo psychologiczne </w:t>
            </w:r>
            <w:r>
              <w:rPr>
                <w:rFonts w:cs="Times New Roman" w:ascii="Arial Narrow" w:hAnsi="Arial Narrow"/>
                <w:sz w:val="24"/>
                <w:szCs w:val="24"/>
              </w:rPr>
              <w:t>- przeciwdziałanie problemom dotyczącym nadużywania alkoholu.</w:t>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Zespół Interdyscyplinarny ds. Przeciwdziałania  Przemocy                            w Rodzinie ul. Krasickiego 1, 11-100 Lidzbark Warmiński             </w:t>
            </w:r>
          </w:p>
          <w:p>
            <w:pPr>
              <w:pStyle w:val="Normal"/>
              <w:spacing w:lineRule="auto" w:line="240" w:before="0" w:after="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rPr>
                <w:rFonts w:ascii="Arial Narrow" w:hAnsi="Arial Narrow" w:cs="Times New Roman"/>
                <w:sz w:val="24"/>
                <w:szCs w:val="24"/>
              </w:rPr>
            </w:pPr>
            <w:r>
              <w:rPr>
                <w:rFonts w:cs="Times New Roman" w:ascii="Arial Narrow" w:hAnsi="Arial Narrow"/>
                <w:sz w:val="24"/>
                <w:szCs w:val="24"/>
              </w:rPr>
              <w:t>Wsparcie i pomoc rodzinom w przezwyciężeniu problemu przemocy,</w:t>
            </w:r>
          </w:p>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Placówki oświatowo - wychowawcze                   z terenu Gminy Lidzbark Warmiński:</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t>Działalność edukacyjno- wychowawcza, psychologiczno-edukacyjna, wsparcie pedagogiczne, psychologiczne dla rodziców i dzieci,  realizacja programów edukacyjnych.</w:t>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Gminny Ośrodek Kultury i Sportu               w Pilniku, 11-100 Lidzbark warmiński</w:t>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pPr>
            <w:hyperlink r:id="rId3">
              <w:r>
                <w:rPr>
                  <w:rStyle w:val="Czeinternetowe"/>
                  <w:rFonts w:cs="Times New Roman"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rStyle w:val="Czeinternetowe"/>
                  <w:rFonts w:cs="Times New Roman" w:ascii="Arial Narrow" w:hAnsi="Arial Narrow"/>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ziałalność </w:t>
              </w:r>
              <w:r>
                <w:rPr>
                  <w:rStyle w:val="Czeinternetowe"/>
                  <w:rFonts w:cs="Times New Roman"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edukacyjna,</w:t>
              </w:r>
              <w:r>
                <w:rPr>
                  <w:rStyle w:val="Czeinternetowe"/>
                  <w:rFonts w:cs="Times New Roman" w:ascii="Arial Narrow" w:hAnsi="Arial Narrow"/>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kulturaln</w:t>
              </w:r>
            </w:hyperlink>
            <w:r>
              <w:rPr>
                <w:rFonts w:cs="Times New Roman"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Pr>
                <w:rFonts w:eastAsia="Calibri" w:cs="Times New Roman"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sportowo</w:t>
            </w:r>
            <w:r>
              <w:rPr>
                <w:rFonts w:cs="Times New Roman"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-rekreacyjna</w:t>
            </w:r>
            <w:r>
              <w:rPr>
                <w:rFonts w:eastAsia="Calibri" w:cs="Times New Roman"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artystyczna oraz zagospodarowanie czasu wolnego. </w:t>
            </w:r>
          </w:p>
        </w:tc>
      </w:tr>
      <w:tr>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Placówki służby zdrowia</w:t>
            </w:r>
          </w:p>
          <w:p>
            <w:pPr>
              <w:pStyle w:val="Normal"/>
              <w:spacing w:lineRule="auto" w:line="240" w:before="0" w:after="160"/>
              <w:ind w:left="360" w:hanging="0"/>
              <w:jc w:val="both"/>
              <w:rPr>
                <w:rFonts w:ascii="Arial Narrow" w:hAnsi="Arial Narrow" w:eastAsia="Calibri" w:cs="Times New Roman"/>
                <w:sz w:val="24"/>
                <w:szCs w:val="24"/>
              </w:rPr>
            </w:pPr>
            <w:r>
              <w:rPr>
                <w:rFonts w:eastAsia="Calibri" w:cs="Times New Roman" w:ascii="Arial Narrow" w:hAnsi="Arial Narrow"/>
                <w:sz w:val="24"/>
                <w:szCs w:val="24"/>
              </w:rPr>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t>Działalność w zakresie profilaktyki i opieki zdrowotnej</w:t>
            </w:r>
          </w:p>
        </w:tc>
      </w:tr>
      <w:tr>
        <w:trPr>
          <w:trHeight w:val="985" w:hRule="atLeast"/>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Parafie z terenu gminy </w:t>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160"/>
              <w:jc w:val="both"/>
              <w:rPr>
                <w:rFonts w:ascii="Arial Narrow" w:hAnsi="Arial Narrow" w:eastAsia="Calibri" w:cs="Times New Roman"/>
                <w:sz w:val="24"/>
                <w:szCs w:val="24"/>
              </w:rPr>
            </w:pPr>
            <w:r>
              <w:rPr>
                <w:rFonts w:eastAsia="Calibri" w:cs="Times New Roman" w:ascii="Arial Narrow" w:hAnsi="Arial Narrow"/>
                <w:sz w:val="24"/>
                <w:szCs w:val="24"/>
              </w:rPr>
              <w:t>Działalność charytatywna, pomoc finansowa, organizowanie wypoczynku.</w:t>
            </w:r>
          </w:p>
        </w:tc>
      </w:tr>
      <w:tr>
        <w:trPr>
          <w:trHeight w:val="985" w:hRule="atLeast"/>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Biblioteki </w:t>
            </w:r>
          </w:p>
        </w:tc>
        <w:tc>
          <w:tcPr>
            <w:tcW w:w="4956" w:type="dxa"/>
            <w:tcBorders>
              <w:left w:val="single" w:sz="4" w:space="0" w:color="00000A"/>
              <w:right w:val="single" w:sz="4" w:space="0" w:color="00000A"/>
              <w:insideV w:val="single" w:sz="4" w:space="0" w:color="00000A"/>
            </w:tcBorders>
            <w:shd w:fill="auto" w:val="clear"/>
          </w:tcPr>
          <w:p>
            <w:pPr>
              <w:pStyle w:val="NormalWeb"/>
              <w:spacing w:before="280" w:after="280"/>
              <w:jc w:val="both"/>
              <w:rPr>
                <w:rFonts w:ascii="Arial Narrow" w:hAnsi="Arial Narrow"/>
              </w:rPr>
            </w:pPr>
            <w:r>
              <w:rPr>
                <w:rFonts w:ascii="Arial Narrow" w:hAnsi="Arial Narrow"/>
              </w:rPr>
              <w:t>Działalność kulturalna, gromadzenie, przechowywanie i udostępnianie materiałów  bibliotecznych. Biblioteki                 i ich zbiory stanowią dobro narodowe oraz służą zachowaniu dziedzictwa narodowego. Biblioteki organizują i zapewniają dostęp do zasobów dorobku nauki i kultury polskiej oraz światowej.</w:t>
            </w:r>
          </w:p>
          <w:p>
            <w:pPr>
              <w:pStyle w:val="NormalWeb"/>
              <w:spacing w:before="280" w:after="280"/>
              <w:jc w:val="both"/>
              <w:rPr>
                <w:rFonts w:ascii="Arial Narrow" w:hAnsi="Arial Narrow" w:eastAsia="Calibri"/>
              </w:rPr>
            </w:pPr>
            <w:r>
              <w:rPr>
                <w:rFonts w:eastAsia="Calibri" w:ascii="Arial Narrow" w:hAnsi="Arial Narrow"/>
              </w:rPr>
            </w:r>
          </w:p>
        </w:tc>
      </w:tr>
      <w:tr>
        <w:trPr>
          <w:trHeight w:val="985" w:hRule="atLeast"/>
        </w:trPr>
        <w:tc>
          <w:tcPr>
            <w:tcW w:w="4105" w:type="dxa"/>
            <w:tcBorders>
              <w:left w:val="single" w:sz="4" w:space="0" w:color="00000A"/>
              <w:right w:val="single" w:sz="4" w:space="0" w:color="00000A"/>
              <w:insideV w:val="single" w:sz="4" w:space="0" w:color="00000A"/>
            </w:tcBorders>
            <w:shd w:fill="auto" w:val="clear"/>
          </w:tcPr>
          <w:p>
            <w:pPr>
              <w:pStyle w:val="Normal"/>
              <w:numPr>
                <w:ilvl w:val="0"/>
                <w:numId w:val="2"/>
              </w:numPr>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Organizacje pozarządowe</w:t>
            </w:r>
          </w:p>
        </w:tc>
        <w:tc>
          <w:tcPr>
            <w:tcW w:w="4956" w:type="dxa"/>
            <w:tcBorders>
              <w:left w:val="single" w:sz="4" w:space="0" w:color="00000A"/>
              <w:right w:val="single" w:sz="4" w:space="0" w:color="00000A"/>
              <w:insideV w:val="single" w:sz="4" w:space="0" w:color="00000A"/>
            </w:tcBorders>
            <w:shd w:fill="auto" w:val="clear"/>
          </w:tcPr>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Działania w zakresie kultury, edukacji, oświaty                        i wychowania oraz kultury fizycznej i sportu. </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Upowszechnianie kultury regionalnej. Pomoc osobom w trudnej sytuacji życiowej i osobom niepełnosprawnym. Wykonywanie zadań </w:t>
            </w:r>
          </w:p>
          <w:p>
            <w:pPr>
              <w:pStyle w:val="Normal"/>
              <w:spacing w:lineRule="auto" w:line="240" w:before="0" w:after="0"/>
              <w:jc w:val="both"/>
              <w:rPr>
                <w:rFonts w:ascii="Arial Narrow" w:hAnsi="Arial Narrow"/>
              </w:rPr>
            </w:pPr>
            <w:r>
              <w:rPr>
                <w:rFonts w:eastAsia="Times New Roman" w:cs="Times New Roman" w:ascii="Arial Narrow" w:hAnsi="Arial Narrow"/>
                <w:sz w:val="24"/>
                <w:szCs w:val="24"/>
                <w:lang w:eastAsia="pl-PL"/>
              </w:rPr>
              <w:t>związanych z ratownictwem i ochroną ludności. Promocja i organizacja wolontariatu. Pomoc żywnościowa.</w:t>
            </w:r>
          </w:p>
        </w:tc>
      </w:tr>
    </w:tbl>
    <w:p>
      <w:pPr>
        <w:pStyle w:val="Normal"/>
        <w:shd w:val="clear" w:color="auto" w:fill="FFFFFF"/>
        <w:spacing w:lineRule="auto" w:line="240"/>
        <w:jc w:val="center"/>
        <w:rPr>
          <w:rFonts w:ascii="Arial Narrow" w:hAnsi="Arial Narrow" w:cs="Times New Roman"/>
          <w:i/>
          <w:i/>
          <w:sz w:val="24"/>
          <w:szCs w:val="24"/>
        </w:rPr>
      </w:pPr>
      <w:r>
        <w:rPr>
          <w:rFonts w:cs="Times New Roman" w:ascii="Arial Narrow" w:hAnsi="Arial Narrow"/>
          <w:i/>
          <w:sz w:val="24"/>
          <w:szCs w:val="24"/>
        </w:rPr>
        <w:t>Źródło: opracowanie własne.</w:t>
      </w:r>
    </w:p>
    <w:p>
      <w:pPr>
        <w:pStyle w:val="Normal"/>
        <w:spacing w:lineRule="auto" w:line="240"/>
        <w:ind w:firstLine="708"/>
        <w:jc w:val="both"/>
        <w:rPr>
          <w:rFonts w:ascii="Arial Narrow" w:hAnsi="Arial Narrow" w:cs="Times New Roman"/>
          <w:sz w:val="24"/>
          <w:szCs w:val="24"/>
        </w:rPr>
      </w:pPr>
      <w:r>
        <w:rPr>
          <w:rFonts w:cs="Times New Roman" w:ascii="Arial Narrow" w:hAnsi="Arial Narrow"/>
          <w:sz w:val="24"/>
          <w:szCs w:val="24"/>
        </w:rPr>
        <w:t xml:space="preserve">W Gminie Lidzbark Warmiński funkcjonuje szeroki wachlarz form pomocy dla dziecka i rodziny ze strony powyższych instytucji. Są to zarówno poradnictwa jak i konkretne usługi, które wspierają zwalczanie  bezradności opiekuńczo-wychowawczej, zajmują się  profilaktyką, walką  z sytuacjami kryzysowymi, nałogami itp.. Instytucje wspierają i pomagają, </w:t>
        <w:br/>
        <w:t xml:space="preserve">w stworzeniu optymalnych warunków do wychowywania dzieci w środowisku rodziny biologicznej.                                                  </w:t>
      </w:r>
    </w:p>
    <w:p>
      <w:pPr>
        <w:pStyle w:val="Normal"/>
        <w:spacing w:lineRule="auto" w:line="240"/>
        <w:jc w:val="both"/>
        <w:rPr>
          <w:rFonts w:ascii="Arial Narrow" w:hAnsi="Arial Narrow" w:cs="Times New Roman"/>
          <w:b/>
          <w:b/>
          <w:sz w:val="28"/>
          <w:szCs w:val="28"/>
        </w:rPr>
      </w:pPr>
      <w:r>
        <w:rPr>
          <w:rFonts w:cs="Times New Roman" w:ascii="Arial Narrow" w:hAnsi="Arial Narrow"/>
          <w:b/>
          <w:sz w:val="28"/>
          <w:szCs w:val="28"/>
        </w:rPr>
        <w:t>II. Cele i realizacja Gminnego Programu Wspierania Rodziny</w:t>
      </w:r>
    </w:p>
    <w:p>
      <w:pPr>
        <w:pStyle w:val="Normal"/>
        <w:spacing w:lineRule="auto" w:line="240"/>
        <w:rPr>
          <w:rFonts w:ascii="Arial Narrow" w:hAnsi="Arial Narrow" w:cs="Times New Roman"/>
          <w:b/>
          <w:b/>
          <w:sz w:val="26"/>
          <w:szCs w:val="26"/>
        </w:rPr>
      </w:pPr>
      <w:r>
        <w:rPr>
          <w:rFonts w:cs="Times New Roman" w:ascii="Arial Narrow" w:hAnsi="Arial Narrow"/>
          <w:b/>
          <w:sz w:val="26"/>
          <w:szCs w:val="26"/>
        </w:rPr>
        <w:t>1. Cel główny  Programu</w:t>
      </w:r>
    </w:p>
    <w:p>
      <w:pPr>
        <w:pStyle w:val="Normal"/>
        <w:spacing w:lineRule="auto" w:line="240"/>
        <w:jc w:val="both"/>
        <w:rPr>
          <w:rFonts w:ascii="Arial Narrow" w:hAnsi="Arial Narrow"/>
          <w:b/>
          <w:b/>
          <w:sz w:val="24"/>
          <w:szCs w:val="24"/>
        </w:rPr>
      </w:pPr>
      <w:r>
        <w:rPr>
          <w:rFonts w:ascii="Arial Narrow" w:hAnsi="Arial Narrow"/>
          <w:b/>
          <w:sz w:val="24"/>
          <w:szCs w:val="24"/>
        </w:rPr>
        <w:t>Wsparcie rodzin przeżywających trudności w wypełnianiu funkcji opiekuńczo-wychowawczych oraz tworzenie warunków sprzyjających jej prawidłowemu funkcjonowaniu</w:t>
      </w:r>
    </w:p>
    <w:p>
      <w:pPr>
        <w:pStyle w:val="Normal"/>
        <w:spacing w:lineRule="auto" w:line="240"/>
        <w:rPr>
          <w:rFonts w:ascii="Arial Narrow" w:hAnsi="Arial Narrow" w:cs="Times New Roman"/>
          <w:b/>
          <w:b/>
          <w:bCs/>
          <w:sz w:val="26"/>
          <w:szCs w:val="26"/>
        </w:rPr>
      </w:pPr>
      <w:r>
        <w:rPr>
          <w:rFonts w:cs="Times New Roman" w:ascii="Arial Narrow" w:hAnsi="Arial Narrow"/>
          <w:b/>
          <w:bCs/>
          <w:sz w:val="26"/>
          <w:szCs w:val="26"/>
        </w:rPr>
        <w:t>2. Cele  szczegółowe:</w:t>
      </w:r>
    </w:p>
    <w:p>
      <w:pPr>
        <w:pStyle w:val="Normal"/>
        <w:spacing w:lineRule="auto" w:line="240"/>
        <w:jc w:val="both"/>
        <w:rPr>
          <w:rFonts w:ascii="Arial Narrow" w:hAnsi="Arial Narrow" w:eastAsia="Calibri" w:cs="Times New Roman"/>
          <w:sz w:val="24"/>
          <w:szCs w:val="24"/>
        </w:rPr>
      </w:pPr>
      <w:r>
        <w:rPr>
          <w:rFonts w:cs="Times New Roman" w:ascii="Arial Narrow" w:hAnsi="Arial Narrow"/>
          <w:bCs/>
          <w:sz w:val="26"/>
          <w:szCs w:val="26"/>
        </w:rPr>
        <w:t xml:space="preserve">2.1. </w:t>
      </w:r>
      <w:r>
        <w:rPr>
          <w:rFonts w:eastAsia="Calibri" w:cs="Times New Roman" w:ascii="Arial Narrow" w:hAnsi="Arial Narrow"/>
          <w:sz w:val="24"/>
          <w:szCs w:val="24"/>
        </w:rPr>
        <w:t xml:space="preserve">Podejmowanie działań profilaktycznych </w:t>
      </w:r>
    </w:p>
    <w:p>
      <w:pPr>
        <w:pStyle w:val="Normal"/>
        <w:spacing w:lineRule="auto" w:line="240"/>
        <w:jc w:val="both"/>
        <w:rPr>
          <w:rFonts w:ascii="Arial Narrow" w:hAnsi="Arial Narrow" w:cs="Times New Roman"/>
          <w:bCs/>
          <w:sz w:val="24"/>
          <w:szCs w:val="24"/>
        </w:rPr>
      </w:pPr>
      <w:r>
        <w:rPr>
          <w:rFonts w:cs="Times New Roman" w:ascii="Arial Narrow" w:hAnsi="Arial Narrow"/>
          <w:bCs/>
          <w:sz w:val="24"/>
          <w:szCs w:val="24"/>
        </w:rPr>
        <w:t>2.2. Budowanie bezpieczeństwa socjalnego rodzin.</w:t>
      </w:r>
    </w:p>
    <w:p>
      <w:pPr>
        <w:pStyle w:val="Normal"/>
        <w:spacing w:lineRule="auto" w:line="240"/>
        <w:jc w:val="both"/>
        <w:rPr>
          <w:rFonts w:ascii="Arial Narrow" w:hAnsi="Arial Narrow" w:cs="Times New Roman"/>
          <w:bCs/>
          <w:sz w:val="24"/>
          <w:szCs w:val="24"/>
        </w:rPr>
      </w:pPr>
      <w:r>
        <w:rPr>
          <w:rFonts w:cs="Times New Roman" w:ascii="Arial Narrow" w:hAnsi="Arial Narrow"/>
          <w:bCs/>
          <w:sz w:val="24"/>
          <w:szCs w:val="24"/>
        </w:rPr>
        <w:t>2.3. Zapewnienie szczególnej ochrony dzieciom w rodzinach niewydolnych pod względem opiekuńczo-wychowawczym.</w:t>
      </w:r>
    </w:p>
    <w:p>
      <w:pPr>
        <w:pStyle w:val="Normal"/>
        <w:spacing w:lineRule="auto" w:line="240"/>
        <w:jc w:val="both"/>
        <w:rPr>
          <w:rFonts w:ascii="Arial Narrow" w:hAnsi="Arial Narrow" w:cs="Times New Roman"/>
          <w:bCs/>
          <w:sz w:val="24"/>
          <w:szCs w:val="24"/>
        </w:rPr>
      </w:pPr>
      <w:r>
        <w:rPr>
          <w:rFonts w:cs="Times New Roman" w:ascii="Arial Narrow" w:hAnsi="Arial Narrow"/>
          <w:bCs/>
          <w:sz w:val="24"/>
          <w:szCs w:val="24"/>
        </w:rPr>
        <w:t>2.4. Działania mające na celu pomoc rodzinom w powrocie dzieci z pieczy zastępczej.</w:t>
      </w:r>
    </w:p>
    <w:p>
      <w:pPr>
        <w:pStyle w:val="Normal"/>
        <w:spacing w:lineRule="auto" w:line="240"/>
        <w:jc w:val="both"/>
        <w:rPr>
          <w:rFonts w:ascii="Arial Narrow" w:hAnsi="Arial Narrow" w:cs="Times New Roman"/>
          <w:bCs/>
          <w:sz w:val="24"/>
          <w:szCs w:val="24"/>
        </w:rPr>
      </w:pPr>
      <w:r>
        <w:rPr>
          <w:rFonts w:cs="Times New Roman" w:ascii="Arial Narrow" w:hAnsi="Arial Narrow"/>
          <w:bCs/>
          <w:sz w:val="24"/>
          <w:szCs w:val="24"/>
        </w:rPr>
        <w:t>2.5. Interdyscyplinarność podmiotów zajmujących się rodzinami z problemami opiekuńczo-wychowawczymi.</w:t>
      </w:r>
    </w:p>
    <w:p>
      <w:pPr>
        <w:pStyle w:val="Normal"/>
        <w:spacing w:lineRule="auto" w:line="240"/>
        <w:rPr>
          <w:rFonts w:ascii="Arial Narrow" w:hAnsi="Arial Narrow" w:cs="Times New Roman"/>
          <w:b/>
          <w:b/>
          <w:bCs/>
          <w:sz w:val="26"/>
          <w:szCs w:val="26"/>
        </w:rPr>
      </w:pPr>
      <w:r>
        <w:rPr>
          <w:rFonts w:cs="Times New Roman" w:ascii="Arial Narrow" w:hAnsi="Arial Narrow"/>
          <w:b/>
          <w:bCs/>
          <w:sz w:val="26"/>
          <w:szCs w:val="26"/>
        </w:rPr>
        <w:t>3. Działania podejmowane w ramach Programu</w:t>
      </w:r>
    </w:p>
    <w:p>
      <w:pPr>
        <w:pStyle w:val="Normal"/>
        <w:spacing w:lineRule="auto" w:line="240"/>
        <w:rPr>
          <w:rFonts w:ascii="Arial Narrow" w:hAnsi="Arial Narrow" w:cs="Times New Roman"/>
          <w:bCs/>
          <w:sz w:val="24"/>
          <w:szCs w:val="24"/>
        </w:rPr>
      </w:pPr>
      <w:r>
        <w:rPr>
          <w:rFonts w:cs="Times New Roman" w:ascii="Arial Narrow" w:hAnsi="Arial Narrow"/>
          <w:bCs/>
          <w:sz w:val="24"/>
          <w:szCs w:val="24"/>
        </w:rPr>
        <w:t>Działania podejmowane w ramach Programu przedstawia tabela nr  6.</w:t>
      </w:r>
    </w:p>
    <w:p>
      <w:pPr>
        <w:pStyle w:val="Normal"/>
        <w:spacing w:lineRule="auto" w:line="240"/>
        <w:rPr>
          <w:rFonts w:ascii="Arial Narrow" w:hAnsi="Arial Narrow" w:cs="Times New Roman"/>
          <w:bCs/>
          <w:sz w:val="24"/>
          <w:szCs w:val="24"/>
        </w:rPr>
      </w:pPr>
      <w:r>
        <w:rPr>
          <w:rFonts w:cs="Times New Roman" w:ascii="Arial Narrow" w:hAnsi="Arial Narrow"/>
          <w:b/>
          <w:sz w:val="24"/>
          <w:szCs w:val="24"/>
        </w:rPr>
        <w:t>Tabela nr 6.</w:t>
      </w:r>
    </w:p>
    <w:tbl>
      <w:tblPr>
        <w:tblStyle w:val="Tabela-Siatka"/>
        <w:tblW w:w="9062" w:type="dxa"/>
        <w:jc w:val="left"/>
        <w:tblInd w:w="-15" w:type="dxa"/>
        <w:tblCellMar>
          <w:top w:w="0" w:type="dxa"/>
          <w:left w:w="83" w:type="dxa"/>
          <w:bottom w:w="0" w:type="dxa"/>
          <w:right w:w="108" w:type="dxa"/>
        </w:tblCellMar>
        <w:tblLook w:firstRow="1" w:noVBand="1" w:lastRow="0" w:firstColumn="1" w:lastColumn="0" w:noHBand="0" w:val="04a0"/>
      </w:tblPr>
      <w:tblGrid>
        <w:gridCol w:w="597"/>
        <w:gridCol w:w="1525"/>
        <w:gridCol w:w="2835"/>
        <w:gridCol w:w="994"/>
        <w:gridCol w:w="1557"/>
        <w:gridCol w:w="1553"/>
      </w:tblGrid>
      <w:tr>
        <w:trPr/>
        <w:tc>
          <w:tcPr>
            <w:tcW w:w="597" w:type="dxa"/>
            <w:tcBorders/>
            <w:shd w:color="auto" w:fill="D9D9D9" w:themeFill="background1" w:themeFillShade="d9" w:val="clear"/>
            <w:tcMar>
              <w:left w:w="83" w:type="dxa"/>
            </w:tcMar>
          </w:tcPr>
          <w:p>
            <w:pPr>
              <w:pStyle w:val="Normal"/>
              <w:spacing w:lineRule="auto" w:line="240" w:before="0" w:after="0"/>
              <w:rPr>
                <w:rFonts w:ascii="Arial Narrow" w:hAnsi="Arial Narrow" w:cs="Times New Roman"/>
                <w:b/>
                <w:b/>
                <w:bCs/>
                <w:sz w:val="24"/>
                <w:szCs w:val="24"/>
              </w:rPr>
            </w:pPr>
            <w:r>
              <w:rPr>
                <w:rFonts w:cs="Times New Roman" w:ascii="Arial Narrow" w:hAnsi="Arial Narrow"/>
                <w:b/>
                <w:bCs/>
                <w:sz w:val="24"/>
                <w:szCs w:val="24"/>
              </w:rPr>
              <w:t>Lp.</w:t>
            </w:r>
          </w:p>
        </w:tc>
        <w:tc>
          <w:tcPr>
            <w:tcW w:w="1525" w:type="dxa"/>
            <w:tcBorders/>
            <w:shd w:color="auto" w:fill="D9D9D9" w:themeFill="background1" w:themeFillShade="d9" w:val="clear"/>
            <w:tcMar>
              <w:left w:w="83" w:type="dxa"/>
            </w:tcMar>
          </w:tcPr>
          <w:p>
            <w:pPr>
              <w:pStyle w:val="Normal"/>
              <w:spacing w:lineRule="auto" w:line="240" w:before="0" w:after="0"/>
              <w:rPr>
                <w:rFonts w:ascii="Arial Narrow" w:hAnsi="Arial Narrow" w:cs="Times New Roman"/>
                <w:b/>
                <w:b/>
                <w:bCs/>
                <w:sz w:val="24"/>
                <w:szCs w:val="24"/>
              </w:rPr>
            </w:pPr>
            <w:r>
              <w:rPr>
                <w:rFonts w:cs="Times New Roman" w:ascii="Arial Narrow" w:hAnsi="Arial Narrow"/>
                <w:b/>
                <w:bCs/>
                <w:sz w:val="24"/>
                <w:szCs w:val="24"/>
              </w:rPr>
              <w:t>Zadania/Cel szczegółowy</w:t>
            </w:r>
          </w:p>
        </w:tc>
        <w:tc>
          <w:tcPr>
            <w:tcW w:w="2835" w:type="dxa"/>
            <w:tcBorders/>
            <w:shd w:color="auto" w:fill="D9D9D9" w:themeFill="background1" w:themeFillShade="d9" w:val="clear"/>
            <w:tcMar>
              <w:left w:w="83" w:type="dxa"/>
            </w:tcMar>
          </w:tcPr>
          <w:p>
            <w:pPr>
              <w:pStyle w:val="Normal"/>
              <w:spacing w:lineRule="auto" w:line="240" w:before="0" w:after="0"/>
              <w:rPr>
                <w:rFonts w:ascii="Arial Narrow" w:hAnsi="Arial Narrow" w:cs="Times New Roman"/>
                <w:b/>
                <w:b/>
                <w:bCs/>
                <w:sz w:val="24"/>
                <w:szCs w:val="24"/>
              </w:rPr>
            </w:pPr>
            <w:r>
              <w:rPr>
                <w:rFonts w:eastAsia="Calibri" w:cs="Times New Roman" w:ascii="Arial Narrow" w:hAnsi="Arial Narrow"/>
                <w:b/>
                <w:bCs/>
                <w:sz w:val="24"/>
                <w:szCs w:val="24"/>
              </w:rPr>
              <w:t>Działania</w:t>
            </w:r>
          </w:p>
        </w:tc>
        <w:tc>
          <w:tcPr>
            <w:tcW w:w="994" w:type="dxa"/>
            <w:tcBorders/>
            <w:shd w:color="auto" w:fill="D9D9D9" w:themeFill="background1" w:themeFillShade="d9" w:val="clear"/>
            <w:tcMar>
              <w:left w:w="83" w:type="dxa"/>
            </w:tcMar>
          </w:tcPr>
          <w:p>
            <w:pPr>
              <w:pStyle w:val="Normal"/>
              <w:spacing w:lineRule="auto" w:line="240" w:before="0" w:after="0"/>
              <w:rPr>
                <w:rFonts w:ascii="Arial Narrow" w:hAnsi="Arial Narrow" w:eastAsia="Calibri" w:cs="Times New Roman"/>
                <w:b/>
                <w:b/>
                <w:bCs/>
                <w:sz w:val="24"/>
                <w:szCs w:val="24"/>
              </w:rPr>
            </w:pPr>
            <w:r>
              <w:rPr>
                <w:rFonts w:eastAsia="Calibri" w:cs="Times New Roman" w:ascii="Arial Narrow" w:hAnsi="Arial Narrow"/>
                <w:b/>
                <w:bCs/>
                <w:sz w:val="24"/>
                <w:szCs w:val="24"/>
              </w:rPr>
              <w:t>Termin</w:t>
            </w:r>
          </w:p>
          <w:p>
            <w:pPr>
              <w:pStyle w:val="Normal"/>
              <w:spacing w:lineRule="auto" w:line="240" w:before="0" w:after="0"/>
              <w:rPr>
                <w:rFonts w:ascii="Arial Narrow" w:hAnsi="Arial Narrow" w:cs="Times New Roman"/>
                <w:b/>
                <w:b/>
                <w:bCs/>
                <w:sz w:val="24"/>
                <w:szCs w:val="24"/>
              </w:rPr>
            </w:pPr>
            <w:r>
              <w:rPr>
                <w:rFonts w:eastAsia="Calibri" w:cs="Times New Roman" w:ascii="Arial Narrow" w:hAnsi="Arial Narrow"/>
                <w:b/>
                <w:bCs/>
                <w:sz w:val="24"/>
                <w:szCs w:val="24"/>
              </w:rPr>
              <w:t>Realiza - cji</w:t>
            </w:r>
          </w:p>
        </w:tc>
        <w:tc>
          <w:tcPr>
            <w:tcW w:w="1557" w:type="dxa"/>
            <w:tcBorders/>
            <w:shd w:color="auto" w:fill="D9D9D9" w:themeFill="background1" w:themeFillShade="d9" w:val="clear"/>
            <w:tcMar>
              <w:left w:w="83" w:type="dxa"/>
            </w:tcMar>
          </w:tcPr>
          <w:p>
            <w:pPr>
              <w:pStyle w:val="Normal"/>
              <w:spacing w:lineRule="auto" w:line="240" w:before="0" w:after="0"/>
              <w:rPr>
                <w:rFonts w:ascii="Arial Narrow" w:hAnsi="Arial Narrow" w:cs="Times New Roman"/>
                <w:b/>
                <w:b/>
                <w:bCs/>
                <w:sz w:val="24"/>
                <w:szCs w:val="24"/>
              </w:rPr>
            </w:pPr>
            <w:r>
              <w:rPr>
                <w:rFonts w:eastAsia="Calibri" w:cs="Times New Roman" w:ascii="Arial Narrow" w:hAnsi="Arial Narrow"/>
                <w:b/>
                <w:bCs/>
                <w:sz w:val="24"/>
                <w:szCs w:val="24"/>
              </w:rPr>
              <w:t>Realizatorzy</w:t>
            </w:r>
          </w:p>
        </w:tc>
        <w:tc>
          <w:tcPr>
            <w:tcW w:w="1553" w:type="dxa"/>
            <w:tcBorders/>
            <w:shd w:color="auto" w:fill="D9D9D9" w:themeFill="background1" w:themeFillShade="d9" w:val="clear"/>
            <w:tcMar>
              <w:left w:w="83" w:type="dxa"/>
            </w:tcMar>
          </w:tcPr>
          <w:p>
            <w:pPr>
              <w:pStyle w:val="Normal"/>
              <w:spacing w:lineRule="auto" w:line="240" w:before="0" w:after="0"/>
              <w:rPr>
                <w:rFonts w:ascii="Arial Narrow" w:hAnsi="Arial Narrow" w:eastAsia="Calibri" w:cs="Times New Roman"/>
                <w:b/>
                <w:b/>
                <w:bCs/>
                <w:sz w:val="24"/>
                <w:szCs w:val="24"/>
              </w:rPr>
            </w:pPr>
            <w:r>
              <w:rPr>
                <w:rFonts w:eastAsia="Calibri" w:cs="Times New Roman" w:ascii="Arial Narrow" w:hAnsi="Arial Narrow"/>
                <w:b/>
                <w:bCs/>
                <w:sz w:val="24"/>
                <w:szCs w:val="24"/>
              </w:rPr>
              <w:t>Wskaźniki</w:t>
            </w:r>
          </w:p>
        </w:tc>
      </w:tr>
      <w:tr>
        <w:trPr/>
        <w:tc>
          <w:tcPr>
            <w:tcW w:w="597"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w:t>
            </w:r>
          </w:p>
        </w:tc>
        <w:tc>
          <w:tcPr>
            <w:tcW w:w="1525"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eastAsia="Calibri" w:cs="Times New Roman" w:ascii="Arial Narrow" w:hAnsi="Arial Narrow"/>
                <w:b/>
                <w:sz w:val="24"/>
                <w:szCs w:val="24"/>
              </w:rPr>
              <w:t>Podejmowa-nie działań profilaktycz-nych</w:t>
            </w:r>
          </w:p>
        </w:tc>
        <w:tc>
          <w:tcPr>
            <w:tcW w:w="2835" w:type="dxa"/>
            <w:tcBorders/>
            <w:shd w:fill="auto" w:val="clear"/>
            <w:tcMar>
              <w:left w:w="83" w:type="dxa"/>
            </w:tcMar>
          </w:tcPr>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1) konsultacje i poradnictwo specjalistyczne </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2) praca socjalna</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3) monitorowanie środowisk zagrożonych uzależnieniami</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4) realizowanie zadań związanych z przeciwdział. przemocy w rodzinie</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5) współpraca z instytucjami, organami i organizacjami działającymi na rzecz rodzin,</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6) pomoc asystenta rodzinom przeżywającym trudności                    w pełnieniu  funkcji opiekuńczo-wychowawczej,</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7) wczesna interwencja                        w rodzinach zagrożonych dysfunkcjami,</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8) realizacja programów profilaktycznych, edukacyjnych.</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994"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2018-2020</w:t>
            </w:r>
          </w:p>
        </w:tc>
        <w:tc>
          <w:tcPr>
            <w:tcW w:w="1557" w:type="dxa"/>
            <w:tcBorders/>
            <w:shd w:fill="auto" w:val="clear"/>
            <w:tcMar>
              <w:left w:w="83" w:type="dxa"/>
            </w:tcMar>
          </w:tcPr>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Wszystkie podmioty uczestniczące w realizacji Programu</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tc>
        <w:tc>
          <w:tcPr>
            <w:tcW w:w="1553"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 liczba porad</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 xml:space="preserve">2) liczba rodz. objętych pr. socjalną </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3) liczba wniosków do GKRPA</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4) Liczba NK, posiedzeń ZI i GR</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5) liczba instytucji</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 xml:space="preserve">6) liczba rodz. objętych wsparciem asystenta </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7) liczba interwencji i rodzin</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8) liczba programów</w:t>
            </w:r>
          </w:p>
        </w:tc>
      </w:tr>
      <w:tr>
        <w:trPr/>
        <w:tc>
          <w:tcPr>
            <w:tcW w:w="597"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w:t>
            </w:r>
          </w:p>
        </w:tc>
        <w:tc>
          <w:tcPr>
            <w:tcW w:w="1525" w:type="dxa"/>
            <w:tcBorders/>
            <w:shd w:fill="auto" w:val="clear"/>
            <w:tcMar>
              <w:left w:w="83" w:type="dxa"/>
            </w:tcMar>
          </w:tcPr>
          <w:p>
            <w:pPr>
              <w:pStyle w:val="Normal"/>
              <w:spacing w:lineRule="auto" w:line="240" w:before="0" w:after="0"/>
              <w:rPr>
                <w:rFonts w:ascii="Arial Narrow" w:hAnsi="Arial Narrow" w:cs="Times New Roman"/>
                <w:b/>
                <w:b/>
                <w:bCs/>
                <w:sz w:val="24"/>
                <w:szCs w:val="24"/>
              </w:rPr>
            </w:pPr>
            <w:r>
              <w:rPr>
                <w:rFonts w:cs="Times New Roman" w:ascii="Arial Narrow" w:hAnsi="Arial Narrow"/>
                <w:b/>
                <w:bCs/>
                <w:sz w:val="24"/>
                <w:szCs w:val="24"/>
              </w:rPr>
              <w:t>Budowanie bezpieczeń-  stwa socjalnego rodzin</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2835" w:type="dxa"/>
            <w:tcBorders/>
            <w:shd w:fill="auto" w:val="clear"/>
            <w:tcMar>
              <w:left w:w="83" w:type="dxa"/>
            </w:tcMar>
          </w:tcPr>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1) przyznawanie i wypłacanie zasiłków pieniężnych,</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2) świadczenie pomocy rzeczowej,</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3) świadczenie pracy socjalnej,</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4) dożywianie dzieci                        w szkołach, </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5) aktywizacja społeczno-zawodowa,  </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6) dowozy  dzieci niepełnosprawnych do szkół oraz osób dorosłych niepełnosprawnych członków rodzin do placówek służby zdrowia.                                                                  </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7) przyznawanie                                   i wypłacanie stypendiów,                  8) wypłacanie świadczeń rodzinnych  i alimentacyjnych oraz dodatków,</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9) wypłacanie zasiłków                    i świadczeń pielęgnac, rodzicielskich, specjalnych zasiłków opiekuńczych,                 10) realizacja karty dużej rodziny,</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 xml:space="preserve"> </w:t>
            </w:r>
            <w:r>
              <w:rPr>
                <w:rFonts w:eastAsia="Calibri" w:cs="Times New Roman" w:ascii="Arial Narrow" w:hAnsi="Arial Narrow"/>
                <w:sz w:val="24"/>
                <w:szCs w:val="24"/>
              </w:rPr>
              <w:t>11) zabezpieczanie potrzeb lokalowych mieszkańców (przyznawanie mieszkań komunalnych, socjalnych, remonty w mieszkaniach komunalnych).</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994"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2018-2020</w:t>
            </w:r>
          </w:p>
        </w:tc>
        <w:tc>
          <w:tcPr>
            <w:tcW w:w="1557" w:type="dxa"/>
            <w:tcBorders/>
            <w:shd w:fill="auto" w:val="clear"/>
            <w:tcMar>
              <w:left w:w="83" w:type="dxa"/>
            </w:tcMar>
          </w:tcPr>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 xml:space="preserve"> </w:t>
            </w:r>
            <w:r>
              <w:rPr>
                <w:rFonts w:eastAsia="Calibri" w:cs="Times New Roman" w:ascii="Arial Narrow" w:hAnsi="Arial Narrow"/>
                <w:bCs/>
                <w:sz w:val="24"/>
                <w:szCs w:val="24"/>
              </w:rPr>
              <w:t>Gminny Ośrodek Pomocy Społecznej,</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Kościoły                    i związki wyznaniowe</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 xml:space="preserve"> </w:t>
            </w:r>
            <w:r>
              <w:rPr>
                <w:rFonts w:eastAsia="Calibri" w:cs="Times New Roman" w:ascii="Arial Narrow" w:hAnsi="Arial Narrow"/>
                <w:bCs/>
                <w:sz w:val="24"/>
                <w:szCs w:val="24"/>
              </w:rPr>
              <w:t>Organizacje pozarządowe</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Urząd Gminy</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 xml:space="preserve">Urząd Gminy </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 xml:space="preserve">       </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Urząd Gminy</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Urząd Gminy</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Urząd Gminy</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tc>
        <w:tc>
          <w:tcPr>
            <w:tcW w:w="1553"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1,2,3) liczba rodzin objętych pomocą pieniężną i rzeczową</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 xml:space="preserve">4) liczba dzieci objętych </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5) liczba os. aktywizowa nych</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 xml:space="preserve">6) liczba os. dowożonych do palcówek </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7) liczba dzieci, które otrzymały styp.</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8) liczba rodzin, które otrzymały ww świadczenia</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9) liczba rodzin, które otrzymały ww świadczenia</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10) liczba rodzin, które otrzymały kartę DR.</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11) liczba rodzin, którym przyznano lokal gminny, wyk. remont.</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r>
      <w:tr>
        <w:trPr/>
        <w:tc>
          <w:tcPr>
            <w:tcW w:w="597"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3.</w:t>
            </w:r>
          </w:p>
        </w:tc>
        <w:tc>
          <w:tcPr>
            <w:tcW w:w="1525" w:type="dxa"/>
            <w:tcBorders/>
            <w:shd w:fill="auto" w:val="clear"/>
            <w:tcMar>
              <w:left w:w="83" w:type="dxa"/>
            </w:tcMar>
          </w:tcPr>
          <w:p>
            <w:pPr>
              <w:pStyle w:val="Normal"/>
              <w:spacing w:lineRule="auto" w:line="240" w:before="0" w:after="0"/>
              <w:rPr>
                <w:rFonts w:ascii="Arial Narrow" w:hAnsi="Arial Narrow" w:cs="Times New Roman"/>
                <w:b/>
                <w:b/>
                <w:bCs/>
                <w:sz w:val="24"/>
                <w:szCs w:val="24"/>
              </w:rPr>
            </w:pPr>
            <w:r>
              <w:rPr>
                <w:rFonts w:cs="Times New Roman" w:ascii="Arial Narrow" w:hAnsi="Arial Narrow"/>
                <w:b/>
                <w:bCs/>
                <w:sz w:val="24"/>
                <w:szCs w:val="24"/>
              </w:rPr>
              <w:t>Zapewnienie szczególnej ochrony dzieciom              w rodzinach niewydol-nych pod względem opiekuńczo-wychowaw-czym</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2835" w:type="dxa"/>
            <w:tcBorders/>
            <w:shd w:fill="auto" w:val="clear"/>
            <w:tcMar>
              <w:left w:w="83" w:type="dxa"/>
            </w:tcMar>
          </w:tcPr>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1) organizowanie dzieciom                i młodzieży czasu wolnego poprzez rozwój i działalność placówek wsparcia dziennego                         o charakterze opiekuńczym,  w tym kół zainteresowań, świetlic, klubów i ognisk wychowawczych,                             o charakterze specjalist. oraz pracy podwórkowej,</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2) pomoc rodzin wspierających (w razie potrzeby),</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3) udzielanie wsparcia rodzinie i dzieciom przez asystenta rodziny i pracowników socjalnych,</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4) poradnictwo specjalistycz- ne,</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5) praca soc. - edukacja rodzin,</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6) udział rodzin w programach edukacyjnych i profilaktycz-nych oraz projektach z Funduszy Europejskich</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7) pomoc w umacnianiu więzi rodzinnych poprzez wymianę doświadczeń międzypokole-niowych</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8) organizowanie imprez cyklicznych, tj. Dni Rodziny, Dni Dziecka, Dni Matki, itp.</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9) finansowanie funkcjonowania rodzin wspierających (w razie potrzeby).</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994"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2018-2020</w:t>
            </w:r>
          </w:p>
        </w:tc>
        <w:tc>
          <w:tcPr>
            <w:tcW w:w="1557" w:type="dxa"/>
            <w:tcBorders/>
            <w:shd w:fill="auto" w:val="clear"/>
            <w:tcMar>
              <w:left w:w="83" w:type="dxa"/>
            </w:tcMar>
          </w:tcPr>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Wszystkie podmioty uczestniczące w realizacji Programu</w:t>
            </w:r>
          </w:p>
        </w:tc>
        <w:tc>
          <w:tcPr>
            <w:tcW w:w="1553"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 liczba dzieci</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 liczba rodzin</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3) liczba rodzin</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4) liczba porad</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5) liczba rodzin</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6) liczba rodzin Uczestniczą cych w progr.</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7) liczba programów</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8) liczba imprez i uczestników</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9) liczba rodzin wspiarających</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r>
      <w:tr>
        <w:trPr/>
        <w:tc>
          <w:tcPr>
            <w:tcW w:w="597"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4.</w:t>
            </w:r>
          </w:p>
        </w:tc>
        <w:tc>
          <w:tcPr>
            <w:tcW w:w="1525" w:type="dxa"/>
            <w:tcBorders/>
            <w:shd w:fill="auto" w:val="clear"/>
            <w:tcMar>
              <w:left w:w="83" w:type="dxa"/>
            </w:tcMar>
          </w:tcPr>
          <w:p>
            <w:pPr>
              <w:pStyle w:val="Normal"/>
              <w:spacing w:lineRule="auto" w:line="240" w:before="0" w:after="0"/>
              <w:rPr>
                <w:rFonts w:ascii="Arial Narrow" w:hAnsi="Arial Narrow" w:cs="Times New Roman"/>
                <w:b/>
                <w:b/>
                <w:bCs/>
                <w:sz w:val="24"/>
                <w:szCs w:val="24"/>
              </w:rPr>
            </w:pPr>
            <w:r>
              <w:rPr>
                <w:rFonts w:cs="Times New Roman" w:ascii="Arial Narrow" w:hAnsi="Arial Narrow"/>
                <w:b/>
                <w:bCs/>
                <w:sz w:val="24"/>
                <w:szCs w:val="24"/>
              </w:rPr>
              <w:t>Działania mające na celu pomoc rodzinom              w powrocie dzieci                  z pieczy zastępczej</w:t>
            </w:r>
          </w:p>
        </w:tc>
        <w:tc>
          <w:tcPr>
            <w:tcW w:w="2835" w:type="dxa"/>
            <w:tcBorders/>
            <w:shd w:fill="auto" w:val="clear"/>
            <w:tcMar>
              <w:left w:w="83" w:type="dxa"/>
            </w:tcMar>
          </w:tcPr>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1) pomoc w utrzymywaniu kontaktów rodziców biologicznych z dziećmi umieszczonymi w pieczy zastępczej i placówkach opiekuńczo-wychowawczych,</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2) udzielanie pomocy finansowej i rzeczowej rodzicom biologicznym, </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3) wsparcie i  poradnictwo specjalistyczne (asystent rodziny, prac. socj. psycholog, prawnik)</w:t>
            </w:r>
          </w:p>
          <w:p>
            <w:pPr>
              <w:pStyle w:val="Normal"/>
              <w:spacing w:lineRule="auto" w:line="240" w:before="0" w:after="0"/>
              <w:jc w:val="both"/>
              <w:rPr>
                <w:rFonts w:ascii="Arial Narrow" w:hAnsi="Arial Narrow" w:eastAsia="Calibri" w:cs="Times New Roman"/>
                <w:sz w:val="24"/>
                <w:szCs w:val="24"/>
              </w:rPr>
            </w:pPr>
            <w:r>
              <w:rPr>
                <w:rFonts w:eastAsia="Times New Roman" w:cs="Times New Roman" w:ascii="Arial Narrow" w:hAnsi="Arial Narrow"/>
                <w:sz w:val="24"/>
                <w:szCs w:val="24"/>
                <w:lang w:eastAsia="pl-PL"/>
              </w:rPr>
              <w:t>4) współfinansowanie pobytu dziecka w rodzinie zastępczej, rodzinnym domu dziecka, placówce</w:t>
            </w:r>
            <w:r>
              <w:rPr>
                <w:rFonts w:eastAsia="Calibri" w:cs="Times New Roman" w:ascii="Arial Narrow" w:hAnsi="Arial Narrow"/>
                <w:sz w:val="24"/>
                <w:szCs w:val="24"/>
              </w:rPr>
              <w:t xml:space="preserve"> opiekuńczo-wychowawczej, regionalnej </w:t>
            </w:r>
            <w:r>
              <w:rPr>
                <w:rFonts w:eastAsia="Times New Roman" w:cs="Times New Roman" w:ascii="Arial Narrow" w:hAnsi="Arial Narrow"/>
                <w:sz w:val="24"/>
                <w:szCs w:val="24"/>
                <w:lang w:eastAsia="pl-PL"/>
              </w:rPr>
              <w:t>placówce</w:t>
            </w:r>
            <w:r>
              <w:rPr>
                <w:rFonts w:eastAsia="Calibri" w:cs="Times New Roman" w:ascii="Arial Narrow" w:hAnsi="Arial Narrow"/>
                <w:sz w:val="24"/>
                <w:szCs w:val="24"/>
              </w:rPr>
              <w:t xml:space="preserve"> opiekuńczo-terapeutycznej lub interwencyjnym ośrodku preadopcyjnym,</w:t>
            </w:r>
          </w:p>
          <w:p>
            <w:pPr>
              <w:pStyle w:val="Normal"/>
              <w:spacing w:lineRule="auto" w:line="240" w:before="0" w:after="0"/>
              <w:jc w:val="both"/>
              <w:rPr>
                <w:rFonts w:ascii="Arial Narrow" w:hAnsi="Arial Narrow" w:eastAsia="Calibri" w:cs="Times New Roman"/>
                <w:sz w:val="24"/>
                <w:szCs w:val="24"/>
              </w:rPr>
            </w:pPr>
            <w:r>
              <w:rPr>
                <w:rFonts w:eastAsia="Calibri" w:cs="Times New Roman" w:ascii="Arial Narrow" w:hAnsi="Arial Narrow"/>
                <w:sz w:val="24"/>
                <w:szCs w:val="24"/>
              </w:rPr>
              <w:t>5) motywowanie członków rodziny do podejmowania działań na rzecz niwelowania własnych dysfunkcji (nauka poprawnych relacji w rodzinie, podjęcie terapii odwykowej, dla sprawców przemocy, itp.)</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994"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2018-2020</w:t>
            </w:r>
          </w:p>
        </w:tc>
        <w:tc>
          <w:tcPr>
            <w:tcW w:w="1557" w:type="dxa"/>
            <w:tcBorders/>
            <w:shd w:fill="auto" w:val="clear"/>
            <w:tcMar>
              <w:left w:w="83" w:type="dxa"/>
            </w:tcMar>
          </w:tcPr>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Wszystkie podmioty uczestniczące w realizacji Programu</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tc>
        <w:tc>
          <w:tcPr>
            <w:tcW w:w="1553"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 liczba rodzin</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 liczba rodzin i kwota</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3) liczba porad</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4) kwota wydatków</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5) liczba rodzin</w:t>
            </w:r>
          </w:p>
        </w:tc>
      </w:tr>
      <w:tr>
        <w:trPr/>
        <w:tc>
          <w:tcPr>
            <w:tcW w:w="597"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5.</w:t>
            </w:r>
          </w:p>
        </w:tc>
        <w:tc>
          <w:tcPr>
            <w:tcW w:w="1525" w:type="dxa"/>
            <w:tcBorders/>
            <w:shd w:fill="auto" w:val="clear"/>
            <w:tcMar>
              <w:left w:w="83" w:type="dxa"/>
            </w:tcMar>
          </w:tcPr>
          <w:p>
            <w:pPr>
              <w:pStyle w:val="Normal"/>
              <w:spacing w:lineRule="auto" w:line="240" w:before="0" w:after="0"/>
              <w:rPr>
                <w:rFonts w:ascii="Arial Narrow" w:hAnsi="Arial Narrow" w:cs="Times New Roman"/>
                <w:b/>
                <w:b/>
                <w:bCs/>
                <w:sz w:val="24"/>
                <w:szCs w:val="24"/>
              </w:rPr>
            </w:pPr>
            <w:r>
              <w:rPr>
                <w:rFonts w:cs="Times New Roman" w:ascii="Arial Narrow" w:hAnsi="Arial Narrow"/>
                <w:b/>
                <w:bCs/>
                <w:sz w:val="24"/>
                <w:szCs w:val="24"/>
              </w:rPr>
              <w:t>Interdyscy-plinarność podmiotów zajmujących się rodzinami z problemami opiekuńczo-wychowa- wczymi</w:t>
            </w:r>
          </w:p>
        </w:tc>
        <w:tc>
          <w:tcPr>
            <w:tcW w:w="2835" w:type="dxa"/>
            <w:tcBorders/>
            <w:shd w:fill="auto" w:val="clear"/>
            <w:tcMar>
              <w:left w:w="83" w:type="dxa"/>
            </w:tcMar>
          </w:tcPr>
          <w:p>
            <w:pPr>
              <w:pStyle w:val="Normal"/>
              <w:spacing w:lineRule="auto" w:line="240" w:before="0" w:after="0"/>
              <w:rPr>
                <w:rFonts w:ascii="Arial Narrow" w:hAnsi="Arial Narrow" w:eastAsia="Calibri" w:cs="Times New Roman"/>
                <w:bCs/>
                <w:sz w:val="24"/>
                <w:szCs w:val="24"/>
              </w:rPr>
            </w:pPr>
            <w:r>
              <w:rPr>
                <w:rFonts w:cs="Times New Roman" w:ascii="Arial Narrow" w:hAnsi="Arial Narrow"/>
                <w:bCs/>
                <w:sz w:val="24"/>
                <w:szCs w:val="24"/>
              </w:rPr>
              <w:t xml:space="preserve">1) współpraca </w:t>
            </w:r>
            <w:r>
              <w:rPr>
                <w:rFonts w:eastAsia="Calibri" w:cs="Times New Roman" w:ascii="Arial Narrow" w:hAnsi="Arial Narrow"/>
                <w:bCs/>
                <w:sz w:val="24"/>
                <w:szCs w:val="24"/>
              </w:rPr>
              <w:t>koordynatora Programu</w:t>
            </w:r>
            <w:r>
              <w:rPr>
                <w:rFonts w:cs="Times New Roman" w:ascii="Arial Narrow" w:hAnsi="Arial Narrow"/>
                <w:bCs/>
                <w:sz w:val="24"/>
                <w:szCs w:val="24"/>
              </w:rPr>
              <w:t xml:space="preserve"> ze w</w:t>
            </w:r>
            <w:r>
              <w:rPr>
                <w:rFonts w:eastAsia="Calibri" w:cs="Times New Roman" w:ascii="Arial Narrow" w:hAnsi="Arial Narrow"/>
                <w:bCs/>
                <w:sz w:val="24"/>
                <w:szCs w:val="24"/>
              </w:rPr>
              <w:t xml:space="preserve">szystkimi podmiotami uczestniczącymi w realizacji Programu  </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2) podnoszenie kwalifikacji                i kompetencji zawodowych podmiotów uczestniczących w realizacji programu.</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tc>
        <w:tc>
          <w:tcPr>
            <w:tcW w:w="994"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2018-2020</w:t>
            </w:r>
          </w:p>
        </w:tc>
        <w:tc>
          <w:tcPr>
            <w:tcW w:w="1557" w:type="dxa"/>
            <w:tcBorders/>
            <w:shd w:fill="auto" w:val="clear"/>
            <w:tcMar>
              <w:left w:w="83" w:type="dxa"/>
            </w:tcMar>
          </w:tcPr>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t>Wszystkie podmioty uczestniczące w realizacji Programu</w:t>
            </w:r>
          </w:p>
          <w:p>
            <w:pPr>
              <w:pStyle w:val="Normal"/>
              <w:spacing w:lineRule="auto" w:line="240" w:before="0" w:after="0"/>
              <w:rPr>
                <w:rFonts w:ascii="Arial Narrow" w:hAnsi="Arial Narrow" w:eastAsia="Calibri" w:cs="Times New Roman"/>
                <w:bCs/>
                <w:sz w:val="24"/>
                <w:szCs w:val="24"/>
              </w:rPr>
            </w:pPr>
            <w:r>
              <w:rPr>
                <w:rFonts w:eastAsia="Calibri" w:cs="Times New Roman" w:ascii="Arial Narrow" w:hAnsi="Arial Narrow"/>
                <w:bCs/>
                <w:sz w:val="24"/>
                <w:szCs w:val="24"/>
              </w:rPr>
            </w:r>
          </w:p>
        </w:tc>
        <w:tc>
          <w:tcPr>
            <w:tcW w:w="1553" w:type="dxa"/>
            <w:tcBorders/>
            <w:shd w:fill="auto" w:val="clear"/>
            <w:tcMar>
              <w:left w:w="83" w:type="dxa"/>
            </w:tcMar>
          </w:tcPr>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1) liczba podmiotów</w:t>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before="0" w:after="0"/>
              <w:rPr>
                <w:rFonts w:ascii="Arial Narrow" w:hAnsi="Arial Narrow" w:cs="Times New Roman"/>
                <w:bCs/>
                <w:sz w:val="24"/>
                <w:szCs w:val="24"/>
              </w:rPr>
            </w:pPr>
            <w:r>
              <w:rPr>
                <w:rFonts w:cs="Times New Roman" w:ascii="Arial Narrow" w:hAnsi="Arial Narrow"/>
                <w:bCs/>
                <w:sz w:val="24"/>
                <w:szCs w:val="24"/>
              </w:rPr>
              <w:t xml:space="preserve">2) liczba osób </w:t>
            </w:r>
          </w:p>
        </w:tc>
      </w:tr>
    </w:tbl>
    <w:p>
      <w:pPr>
        <w:pStyle w:val="Normal"/>
        <w:spacing w:lineRule="auto" w:line="240"/>
        <w:ind w:firstLine="708"/>
        <w:jc w:val="both"/>
        <w:rPr>
          <w:rFonts w:ascii="Arial Narrow" w:hAnsi="Arial Narrow" w:cs="Times New Roman"/>
          <w:bCs/>
          <w:sz w:val="24"/>
          <w:szCs w:val="24"/>
        </w:rPr>
      </w:pPr>
      <w:r>
        <w:rPr>
          <w:rFonts w:cs="Times New Roman" w:ascii="Arial Narrow" w:hAnsi="Arial Narrow"/>
          <w:bCs/>
          <w:sz w:val="24"/>
          <w:szCs w:val="24"/>
        </w:rPr>
      </w:r>
    </w:p>
    <w:p>
      <w:pPr>
        <w:pStyle w:val="Normal"/>
        <w:spacing w:lineRule="auto" w:line="240"/>
        <w:ind w:firstLine="708"/>
        <w:jc w:val="both"/>
        <w:rPr>
          <w:rFonts w:ascii="Arial Narrow" w:hAnsi="Arial Narrow" w:cs="Times New Roman"/>
          <w:bCs/>
          <w:sz w:val="24"/>
          <w:szCs w:val="24"/>
        </w:rPr>
      </w:pPr>
      <w:r>
        <w:rPr>
          <w:rFonts w:cs="Times New Roman" w:ascii="Arial Narrow" w:hAnsi="Arial Narrow"/>
          <w:bCs/>
          <w:sz w:val="24"/>
          <w:szCs w:val="24"/>
        </w:rPr>
      </w:r>
    </w:p>
    <w:p>
      <w:pPr>
        <w:pStyle w:val="ListParagraph"/>
        <w:numPr>
          <w:ilvl w:val="0"/>
          <w:numId w:val="1"/>
        </w:numPr>
        <w:spacing w:lineRule="auto" w:line="240" w:before="0" w:after="200"/>
        <w:contextualSpacing/>
        <w:jc w:val="both"/>
        <w:rPr>
          <w:rFonts w:ascii="Arial Narrow" w:hAnsi="Arial Narrow"/>
          <w:b/>
          <w:b/>
          <w:sz w:val="26"/>
          <w:szCs w:val="26"/>
        </w:rPr>
      </w:pPr>
      <w:r>
        <w:rPr>
          <w:rFonts w:ascii="Arial Narrow" w:hAnsi="Arial Narrow"/>
          <w:b/>
          <w:sz w:val="26"/>
          <w:szCs w:val="26"/>
        </w:rPr>
        <w:t>Adresaci Programu</w:t>
      </w:r>
    </w:p>
    <w:p>
      <w:pPr>
        <w:pStyle w:val="Normal"/>
        <w:spacing w:lineRule="auto" w:line="240"/>
        <w:jc w:val="both"/>
        <w:rPr>
          <w:rFonts w:ascii="Arial Narrow" w:hAnsi="Arial Narrow"/>
          <w:sz w:val="24"/>
          <w:szCs w:val="24"/>
        </w:rPr>
      </w:pPr>
      <w:r>
        <w:rPr>
          <w:rFonts w:ascii="Arial Narrow" w:hAnsi="Arial Narrow"/>
          <w:sz w:val="24"/>
          <w:szCs w:val="24"/>
        </w:rPr>
        <w:t>Adresatami Programu są rodziny zamieszkujące na terenie Gminy Lidzbark Warmiński przeżywające trudności w wypełnianiu funkcji opiekuńczo-wychowawczych,   rodziny uzależnione od alkoholu, dotknięte przemocą i długotrwałym bezrobociem, małoletni rodzice, nieprzygotowani do pełnienia ról rodzicielskich, rodziny przeżywające trudności związane ze stanem zdrowia członków rodziny, zdarzeniami losowymi i sytuacjami kryzysowymi.</w:t>
      </w:r>
    </w:p>
    <w:p>
      <w:pPr>
        <w:pStyle w:val="ListParagraph"/>
        <w:numPr>
          <w:ilvl w:val="0"/>
          <w:numId w:val="1"/>
        </w:numPr>
        <w:spacing w:lineRule="auto" w:line="24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t>Oczekiwane rezultaty</w:t>
      </w:r>
    </w:p>
    <w:p>
      <w:pPr>
        <w:pStyle w:val="Normal"/>
        <w:spacing w:lineRule="auto" w:line="240"/>
        <w:jc w:val="both"/>
        <w:rPr>
          <w:rFonts w:ascii="Arial Narrow" w:hAnsi="Arial Narrow" w:cs="Times New Roman"/>
          <w:sz w:val="24"/>
          <w:szCs w:val="24"/>
        </w:rPr>
      </w:pPr>
      <w:r>
        <w:rPr>
          <w:rFonts w:cs="Times New Roman" w:ascii="Arial Narrow" w:hAnsi="Arial Narrow"/>
          <w:bCs/>
          <w:sz w:val="24"/>
          <w:szCs w:val="24"/>
        </w:rPr>
        <w:t xml:space="preserve">Oczekuje się, iż rezultatem  realizacji Programu będzie: </w:t>
      </w:r>
      <w:r>
        <w:rPr>
          <w:rFonts w:eastAsia="Times New Roman" w:cs="Times New Roman" w:ascii="Arial Narrow" w:hAnsi="Arial Narrow"/>
          <w:sz w:val="24"/>
          <w:szCs w:val="24"/>
          <w:lang w:eastAsia="pl-PL"/>
        </w:rPr>
        <w:t>ograniczenie liczby dzieci umieszczanych                              w placówkach</w:t>
      </w:r>
      <w:r>
        <w:rPr>
          <w:rFonts w:cs="Times New Roman" w:ascii="Arial Narrow" w:hAnsi="Arial Narrow"/>
          <w:bCs/>
          <w:sz w:val="24"/>
          <w:szCs w:val="24"/>
        </w:rPr>
        <w:t>, wzrost poczucia bezpieczeństwa socjalnego, stworzenie skutecznego wsparcia dla rodziny i dziecka, polepszenie sytuacji dziecka i rodziny,</w:t>
      </w:r>
      <w:r>
        <w:rPr>
          <w:rFonts w:eastAsia="Times New Roman" w:cs="Times New Roman" w:ascii="Arial Narrow" w:hAnsi="Arial Narrow"/>
          <w:sz w:val="24"/>
          <w:szCs w:val="24"/>
          <w:lang w:eastAsia="pl-PL"/>
        </w:rPr>
        <w:t xml:space="preserve"> poprawa funkcjonowania rodzin z problemami opiekuńczo-wychowawczymi, </w:t>
      </w:r>
      <w:r>
        <w:rPr>
          <w:rFonts w:cs="Times New Roman" w:ascii="Arial Narrow" w:hAnsi="Arial Narrow"/>
          <w:bCs/>
          <w:sz w:val="24"/>
          <w:szCs w:val="24"/>
        </w:rPr>
        <w:t xml:space="preserve">ograniczenie patologii społecznej, zminimalizowanie negatywnych zachowań oraz </w:t>
      </w:r>
      <w:r>
        <w:rPr>
          <w:rFonts w:eastAsia="Times New Roman" w:cs="Times New Roman" w:ascii="Arial Narrow" w:hAnsi="Arial Narrow"/>
          <w:sz w:val="24"/>
          <w:szCs w:val="24"/>
          <w:lang w:eastAsia="pl-PL"/>
        </w:rPr>
        <w:t xml:space="preserve">wzrost liczby dzieci powracających z placówek do rodzin biologicznych. </w:t>
      </w:r>
    </w:p>
    <w:p>
      <w:pPr>
        <w:pStyle w:val="Normal"/>
        <w:spacing w:lineRule="auto" w:line="36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t xml:space="preserve">6. Realizatorzy i partnerzy Programu   </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1. Gminny Ośrodek Pomocy Społecznej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2. Urząd Gminy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3. Gminna Komisja Rozwiązywania Problemów Alkoholowych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4. Gminny Ośrodek Kultury i Sportu w Pilniku</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5. Starostwo Powiatowe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6. Powiatowe Centrum Pomocy Rodzinie</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7. Placówki oświatowe działające na terenie Gminy Lidzbark Warmiński</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8. Kościoły i związki wyznaniowe</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9. Grupowa Praktyka Pielęgniarek Środowiskowych i Położnych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10. Komenda Powiatowa Policji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11. Prokuratura Rejonowa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12. Sąd Rejonowy w Lidzbarku Warmińskim</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t>13. Organizacje pozarządowe z terenu Gminy Lidzbark Warmiński</w:t>
      </w:r>
    </w:p>
    <w:p>
      <w:pPr>
        <w:pStyle w:val="Normal"/>
        <w:spacing w:lineRule="auto" w:line="240" w:before="0" w:after="0"/>
        <w:jc w:val="both"/>
        <w:rPr>
          <w:rFonts w:ascii="Arial Narrow" w:hAnsi="Arial Narrow" w:eastAsia="Times New Roman"/>
          <w:sz w:val="24"/>
          <w:szCs w:val="24"/>
          <w:lang w:eastAsia="pl-PL"/>
        </w:rPr>
      </w:pPr>
      <w:r>
        <w:rPr>
          <w:rFonts w:eastAsia="Times New Roman" w:ascii="Arial Narrow" w:hAnsi="Arial Narrow"/>
          <w:sz w:val="24"/>
          <w:szCs w:val="24"/>
          <w:lang w:eastAsia="pl-PL"/>
        </w:rPr>
      </w:r>
    </w:p>
    <w:p>
      <w:pPr>
        <w:pStyle w:val="Normal"/>
        <w:spacing w:lineRule="auto" w:line="240" w:before="0" w:after="200"/>
        <w:rPr>
          <w:rFonts w:ascii="Arial Narrow" w:hAnsi="Arial Narrow"/>
          <w:b/>
          <w:b/>
          <w:sz w:val="26"/>
          <w:szCs w:val="26"/>
        </w:rPr>
      </w:pPr>
      <w:r>
        <w:rPr>
          <w:rFonts w:eastAsia="Times New Roman" w:ascii="Arial Narrow" w:hAnsi="Arial Narrow"/>
          <w:sz w:val="26"/>
          <w:szCs w:val="26"/>
          <w:lang w:eastAsia="pl-PL"/>
        </w:rPr>
        <w:t xml:space="preserve">7. </w:t>
      </w:r>
      <w:r>
        <w:rPr>
          <w:rFonts w:ascii="Arial Narrow" w:hAnsi="Arial Narrow"/>
          <w:b/>
          <w:sz w:val="26"/>
          <w:szCs w:val="26"/>
        </w:rPr>
        <w:t>Koordynator Programu</w:t>
      </w:r>
    </w:p>
    <w:p>
      <w:pPr>
        <w:pStyle w:val="Normal"/>
        <w:spacing w:lineRule="auto" w:line="240"/>
        <w:jc w:val="both"/>
        <w:rPr>
          <w:rFonts w:ascii="Arial Narrow" w:hAnsi="Arial Narrow"/>
          <w:sz w:val="24"/>
          <w:szCs w:val="24"/>
        </w:rPr>
      </w:pPr>
      <w:r>
        <w:rPr>
          <w:rFonts w:ascii="Arial Narrow" w:hAnsi="Arial Narrow"/>
          <w:sz w:val="24"/>
          <w:szCs w:val="24"/>
        </w:rPr>
        <w:t>Koordynatorem Gminnego Programu Wspierania Rodziny na lata 2018-2020 będzie Gminny Ośrodek Pomocy Społecznej w Lidzbarku Warmińskim.</w:t>
      </w:r>
    </w:p>
    <w:p>
      <w:pPr>
        <w:pStyle w:val="Normal"/>
        <w:spacing w:lineRule="auto" w:line="240" w:before="0" w:after="200"/>
        <w:jc w:val="both"/>
        <w:rPr>
          <w:rFonts w:ascii="Arial Narrow" w:hAnsi="Arial Narrow"/>
          <w:b/>
          <w:b/>
          <w:sz w:val="26"/>
          <w:szCs w:val="26"/>
        </w:rPr>
      </w:pPr>
      <w:r>
        <w:rPr>
          <w:rFonts w:ascii="Arial Narrow" w:hAnsi="Arial Narrow"/>
          <w:b/>
          <w:sz w:val="26"/>
          <w:szCs w:val="26"/>
        </w:rPr>
        <w:t>8. Czas realizacji Programu</w:t>
      </w:r>
    </w:p>
    <w:p>
      <w:pPr>
        <w:pStyle w:val="Normal"/>
        <w:spacing w:lineRule="auto" w:line="240"/>
        <w:jc w:val="both"/>
        <w:rPr>
          <w:rFonts w:ascii="Arial Narrow" w:hAnsi="Arial Narrow"/>
          <w:sz w:val="24"/>
          <w:szCs w:val="24"/>
        </w:rPr>
      </w:pPr>
      <w:r>
        <w:rPr>
          <w:rFonts w:ascii="Arial Narrow" w:hAnsi="Arial Narrow"/>
          <w:sz w:val="24"/>
          <w:szCs w:val="24"/>
        </w:rPr>
        <w:t>Realizacja Gminnego Programu Wspierania Rodziny zaplanowana została na lata 2018 – 2020.</w:t>
      </w:r>
    </w:p>
    <w:p>
      <w:pPr>
        <w:pStyle w:val="Normal"/>
        <w:jc w:val="both"/>
        <w:rPr>
          <w:rFonts w:ascii="Arial Narrow" w:hAnsi="Arial Narrow" w:cs="Times New Roman"/>
          <w:b/>
          <w:b/>
          <w:sz w:val="28"/>
          <w:szCs w:val="28"/>
        </w:rPr>
      </w:pPr>
      <w:r>
        <w:rPr>
          <w:rFonts w:cs="Times New Roman" w:ascii="Arial Narrow" w:hAnsi="Arial Narrow"/>
          <w:b/>
          <w:sz w:val="28"/>
          <w:szCs w:val="28"/>
        </w:rPr>
        <w:t>III. Postanowienia końcowe</w:t>
      </w:r>
    </w:p>
    <w:p>
      <w:pPr>
        <w:pStyle w:val="Normal"/>
        <w:spacing w:lineRule="auto" w:line="360" w:before="0" w:after="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t xml:space="preserve">1. Źródła finansowania </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        </w:t>
      </w:r>
      <w:r>
        <w:rPr>
          <w:rFonts w:eastAsia="Times New Roman" w:cs="Times New Roman" w:ascii="Arial Narrow" w:hAnsi="Arial Narrow"/>
          <w:sz w:val="24"/>
          <w:szCs w:val="24"/>
          <w:lang w:eastAsia="pl-PL"/>
        </w:rPr>
        <w:t>1. Środki pochodzące z budżetu Państwa</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        </w:t>
      </w:r>
      <w:r>
        <w:rPr>
          <w:rFonts w:eastAsia="Times New Roman" w:cs="Times New Roman" w:ascii="Arial Narrow" w:hAnsi="Arial Narrow"/>
          <w:sz w:val="24"/>
          <w:szCs w:val="24"/>
          <w:lang w:eastAsia="pl-PL"/>
        </w:rPr>
        <w:t>2. Środki własne gminy</w:t>
      </w:r>
    </w:p>
    <w:p>
      <w:pPr>
        <w:pStyle w:val="Normal"/>
        <w:spacing w:lineRule="auto" w:line="240" w:before="0" w:after="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        </w:t>
      </w:r>
      <w:r>
        <w:rPr>
          <w:rFonts w:eastAsia="Times New Roman" w:cs="Times New Roman" w:ascii="Arial Narrow" w:hAnsi="Arial Narrow"/>
          <w:sz w:val="24"/>
          <w:szCs w:val="24"/>
          <w:lang w:eastAsia="pl-PL"/>
        </w:rPr>
        <w:t>3. Środki pochodzące z innych źródeł</w:t>
      </w:r>
    </w:p>
    <w:p>
      <w:pPr>
        <w:pStyle w:val="Normal"/>
        <w:spacing w:lineRule="auto" w:line="24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 xml:space="preserve">       </w:t>
      </w:r>
      <w:r>
        <w:rPr>
          <w:rFonts w:eastAsia="Times New Roman" w:cs="Times New Roman" w:ascii="Arial Narrow" w:hAnsi="Arial Narrow"/>
          <w:sz w:val="24"/>
          <w:szCs w:val="24"/>
          <w:lang w:eastAsia="pl-PL"/>
        </w:rPr>
        <w:t>4. Środki pochodzące z Funduszu Europejskiego</w:t>
      </w:r>
    </w:p>
    <w:p>
      <w:pPr>
        <w:pStyle w:val="Normal"/>
        <w:spacing w:lineRule="auto" w:line="24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r>
    </w:p>
    <w:p>
      <w:pPr>
        <w:pStyle w:val="Normal"/>
        <w:spacing w:lineRule="auto" w:line="24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r>
    </w:p>
    <w:p>
      <w:pPr>
        <w:pStyle w:val="Normal"/>
        <w:spacing w:lineRule="auto" w:line="24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t xml:space="preserve">2. Monitorowanie przebiegu Programu </w:t>
      </w:r>
    </w:p>
    <w:p>
      <w:pPr>
        <w:pStyle w:val="Normal"/>
        <w:spacing w:lineRule="auto" w:line="24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2.1. Monitorowanie odbywać się będzie poprzez przedkładanie w terminie do 31 marca każdego roku Radzie Gminy oraz Wójtowi Gminy Lidzbark Warmiński sprawozdań z realizacji zadań z zakresu wspierania rodziny oraz przedstawianie potrzeb związanych z realizacją zadań.</w:t>
      </w:r>
    </w:p>
    <w:p>
      <w:pPr>
        <w:pStyle w:val="Normal"/>
        <w:spacing w:lineRule="auto" w:line="240"/>
        <w:jc w:val="both"/>
        <w:rPr>
          <w:rFonts w:ascii="Arial Narrow" w:hAnsi="Arial Narrow" w:eastAsia="Times New Roman" w:cs="Times New Roman"/>
          <w:sz w:val="24"/>
          <w:szCs w:val="24"/>
          <w:lang w:eastAsia="pl-PL"/>
        </w:rPr>
      </w:pPr>
      <w:r>
        <w:rPr>
          <w:rFonts w:eastAsia="Times New Roman" w:cs="Times New Roman" w:ascii="Arial Narrow" w:hAnsi="Arial Narrow"/>
          <w:sz w:val="24"/>
          <w:szCs w:val="24"/>
          <w:lang w:eastAsia="pl-PL"/>
        </w:rPr>
        <w:t>2.2. Sporządzanie sprawozdań rzeczowo-finansowych z zakresu wspierania rodziny oraz przekazywanie ich właściwemu  Wojewodzie odbywać się będzie w wersji elektronicznej, z zastosowaniem systemu teleinformatycznego.</w:t>
      </w:r>
    </w:p>
    <w:p>
      <w:pPr>
        <w:pStyle w:val="Normal"/>
        <w:spacing w:lineRule="auto" w:line="240"/>
        <w:jc w:val="both"/>
        <w:rPr>
          <w:rFonts w:ascii="Arial Narrow" w:hAnsi="Arial Narrow" w:eastAsia="Times New Roman" w:cs="Times New Roman"/>
          <w:b/>
          <w:b/>
          <w:sz w:val="26"/>
          <w:szCs w:val="26"/>
          <w:lang w:eastAsia="pl-PL"/>
        </w:rPr>
      </w:pPr>
      <w:r>
        <w:rPr>
          <w:rFonts w:eastAsia="Times New Roman" w:cs="Times New Roman" w:ascii="Arial Narrow" w:hAnsi="Arial Narrow"/>
          <w:b/>
          <w:sz w:val="26"/>
          <w:szCs w:val="26"/>
          <w:lang w:eastAsia="pl-PL"/>
        </w:rPr>
        <w:t>3. Podsumowanie</w:t>
      </w:r>
    </w:p>
    <w:p>
      <w:pPr>
        <w:pStyle w:val="Normal"/>
        <w:spacing w:lineRule="auto" w:line="240" w:before="0" w:after="0"/>
        <w:jc w:val="both"/>
        <w:rPr>
          <w:rFonts w:ascii="Arial Narrow" w:hAnsi="Arial Narrow" w:cs="TimesNewRomanPSMT"/>
          <w:sz w:val="24"/>
          <w:szCs w:val="24"/>
        </w:rPr>
      </w:pPr>
      <w:r>
        <w:rPr>
          <w:rFonts w:cs="TimesNewRomanPSMT" w:ascii="Arial Narrow" w:hAnsi="Arial Narrow"/>
          <w:sz w:val="24"/>
          <w:szCs w:val="24"/>
        </w:rPr>
        <w:t>Gminny Program Wspierania Rodziny jest zgodny z kierunkiem i działaniami określonymi w Gminnej Strategii Rozwiązywania Problemów Społecznych na lata 2017-2026.</w:t>
      </w:r>
    </w:p>
    <w:p>
      <w:pPr>
        <w:pStyle w:val="Normal"/>
        <w:spacing w:lineRule="auto" w:line="240" w:before="0" w:after="0"/>
        <w:jc w:val="both"/>
        <w:rPr>
          <w:rFonts w:ascii="Arial Narrow" w:hAnsi="Arial Narrow" w:cs="TimesNewRomanPSMT"/>
          <w:sz w:val="24"/>
          <w:szCs w:val="24"/>
        </w:rPr>
      </w:pPr>
      <w:r>
        <w:rPr>
          <w:rFonts w:cs="Times New Roman" w:ascii="Arial Narrow" w:hAnsi="Arial Narrow"/>
          <w:sz w:val="24"/>
          <w:szCs w:val="24"/>
        </w:rPr>
        <w:t>Zadaniem Programu jest zapobieganie dysfunkcji rodziny poprzez tworzenie systemu wspomagającego rodzinę, dzieci i młodzież, w taki sposób, aby była w stanie samodzielnie zmierzyć się z własnymi problemami. Pomoc powinna mieć na celu podtrzymanie umiejętności uczestnictwa w życiu społeczności lokalnej i pełnieniu ról społecznych poprzez wzmocnienie zasobów tkwiących w poszczególnych członkach rodziny, poprawę jakości życia rodzin zagrożonych wykluczeniem społecznym, wzmocnienie rodziców w pełnieniu funkcji opiekuńczo-wychowawczych.</w:t>
      </w:r>
      <w:r>
        <w:rPr>
          <w:rFonts w:cs="TimesNewRomanPSMT" w:ascii="Arial Narrow" w:hAnsi="Arial Narrow"/>
          <w:sz w:val="24"/>
          <w:szCs w:val="24"/>
        </w:rPr>
        <w:t xml:space="preserve"> </w:t>
      </w:r>
    </w:p>
    <w:p>
      <w:pPr>
        <w:pStyle w:val="Normal"/>
        <w:spacing w:lineRule="auto" w:line="240" w:before="0" w:after="0"/>
        <w:jc w:val="both"/>
        <w:rPr>
          <w:rFonts w:ascii="Arial Narrow" w:hAnsi="Arial Narrow" w:cs="TimesNewRomanPSMT"/>
          <w:sz w:val="24"/>
          <w:szCs w:val="24"/>
        </w:rPr>
      </w:pPr>
      <w:r>
        <w:rPr>
          <w:rFonts w:cs="TimesNewRomanPSMT" w:ascii="Arial Narrow" w:hAnsi="Arial Narrow"/>
          <w:sz w:val="24"/>
          <w:szCs w:val="24"/>
        </w:rPr>
        <w:t>Ważnym elementem powodzenia w zakresie realizacji Programu jest ścisła współpraca podmiotów zajmujących się sprawami rodziny i podejmowanie interdyscyplinarnych działań.</w:t>
      </w:r>
    </w:p>
    <w:p>
      <w:pPr>
        <w:pStyle w:val="Normal"/>
        <w:tabs>
          <w:tab w:val="left" w:pos="3510" w:leader="none"/>
        </w:tabs>
        <w:ind w:left="360" w:hanging="0"/>
        <w:rPr>
          <w:rFonts w:ascii="Times New Roman" w:hAnsi="Times New Roman" w:cs="Times New Roman"/>
          <w:sz w:val="24"/>
          <w:szCs w:val="24"/>
        </w:rPr>
      </w:pPr>
      <w:r>
        <w:rPr>
          <w:rFonts w:ascii="Arial Narrow" w:hAnsi="Arial Narrow"/>
          <w:b/>
          <w:sz w:val="24"/>
          <w:szCs w:val="24"/>
        </w:rPr>
        <w:tab/>
      </w:r>
    </w:p>
    <w:p>
      <w:pPr>
        <w:pStyle w:val="Normal"/>
        <w:spacing w:lineRule="auto" w:line="240"/>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bookmarkStart w:id="0" w:name="_GoBack"/>
      <w:bookmarkStart w:id="1" w:name="_GoBack"/>
      <w:bookmarkEnd w:id="1"/>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72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Arial Narrow" w:hAnsi="Arial Narrow"/>
          <w:b/>
          <w:b/>
          <w:i/>
          <w:i/>
          <w:sz w:val="28"/>
          <w:szCs w:val="28"/>
        </w:rPr>
      </w:pPr>
      <w:r>
        <w:rPr>
          <w:rFonts w:ascii="Arial Narrow" w:hAnsi="Arial Narrow"/>
          <w:b/>
          <w:i/>
          <w:sz w:val="28"/>
          <w:szCs w:val="28"/>
        </w:rPr>
      </w:r>
    </w:p>
    <w:p>
      <w:pPr>
        <w:pStyle w:val="ListParagraph"/>
        <w:spacing w:lineRule="auto" w:line="240"/>
        <w:ind w:left="1080" w:hanging="0"/>
        <w:rPr>
          <w:rFonts w:ascii="Times New Roman" w:hAnsi="Times New Roman"/>
          <w:b/>
          <w:b/>
          <w:i/>
          <w:i/>
          <w:sz w:val="28"/>
          <w:szCs w:val="28"/>
        </w:rPr>
      </w:pPr>
      <w:r>
        <w:rPr>
          <w:rFonts w:ascii="Times New Roman" w:hAnsi="Times New Roman"/>
          <w:b/>
          <w:i/>
          <w:sz w:val="28"/>
          <w:szCs w:val="28"/>
        </w:rPr>
      </w:r>
    </w:p>
    <w:p>
      <w:pPr>
        <w:pStyle w:val="Normal"/>
        <w:spacing w:lineRule="auto" w:line="240" w:before="0" w:after="160"/>
        <w:ind w:firstLine="708"/>
        <w:jc w:val="both"/>
        <w:rPr/>
      </w:pPr>
      <w:r>
        <w:rPr/>
      </w:r>
    </w:p>
    <w:sectPr>
      <w:type w:val="nextPage"/>
      <w:pgSz w:w="11906" w:h="16838"/>
      <w:pgMar w:left="1417" w:right="1417"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Arial Narrow">
    <w:charset w:val="ee"/>
    <w:family w:val="roman"/>
    <w:pitch w:val="variable"/>
  </w:font>
  <w:font w:name="Liberation Sans">
    <w:altName w:val="Arial"/>
    <w:charset w:val="ee"/>
    <w:family w:val="roman"/>
    <w:pitch w:val="variable"/>
  </w:font>
  <w:font w:name="Times New Roman">
    <w:charset w:val="ee"/>
    <w:family w:val="roman"/>
    <w:pitch w:val="variable"/>
  </w:font>
  <w:font w:name="Tahoma">
    <w:charset w:val="ee"/>
    <w:family w:val="roman"/>
    <w:pitch w:val="variable"/>
  </w:font>
  <w:font w:name="Liberation Sans Narrow">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502"/>
        </w:tabs>
        <w:ind w:left="502" w:hanging="360"/>
      </w:pPr>
    </w:lvl>
    <w:lvl w:ilvl="1">
      <w:start w:val="1"/>
      <w:numFmt w:val="bullet"/>
      <w:lvlText w:val=""/>
      <w:lvlJc w:val="left"/>
      <w:pPr>
        <w:tabs>
          <w:tab w:val="num" w:pos="786"/>
        </w:tabs>
        <w:ind w:left="786" w:hanging="360"/>
      </w:pPr>
      <w:rPr>
        <w:rFonts w:ascii="Symbol" w:hAnsi="Symbol" w:cs="Symbol" w:hint="default"/>
        <w:sz w:val="24"/>
        <w:rFonts w:cs="Symbol"/>
      </w:r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2">
    <w:lvl w:ilvl="0">
      <w:start w:val="1"/>
      <w:numFmt w:val="decimal"/>
      <w:lvlText w:val="%1."/>
      <w:lvlJc w:val="left"/>
      <w:pPr>
        <w:tabs>
          <w:tab w:val="num" w:pos="360"/>
        </w:tabs>
        <w:ind w:left="360" w:hanging="360"/>
      </w:pPr>
    </w:lvl>
    <w:lvl w:ilvl="1">
      <w:start w:val="1"/>
      <w:numFmt w:val="bullet"/>
      <w:lvlText w:val=""/>
      <w:lvlJc w:val="left"/>
      <w:pPr>
        <w:tabs>
          <w:tab w:val="num" w:pos="644"/>
        </w:tabs>
        <w:ind w:left="644" w:hanging="360"/>
      </w:pPr>
      <w:rPr>
        <w:rFonts w:ascii="Symbol" w:hAnsi="Symbol" w:cs="Symbol" w:hint="default"/>
        <w:rFonts w:cs="Symbol"/>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lvl w:ilvl="0">
      <w:start w:val="1"/>
      <w:numFmt w:val="decimal"/>
      <w:lvlText w:val="%1."/>
      <w:lvlJc w:val="left"/>
      <w:pPr>
        <w:ind w:left="644" w:hanging="360"/>
      </w:pPr>
      <w:rPr>
        <w:sz w:val="26"/>
        <w:b/>
        <w:szCs w:val="28"/>
        <w:rFonts w:ascii="Arial Narrow" w:hAnsi="Arial Narrow" w:eastAsia="Calibri"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pl-PL" w:eastAsia="en-US" w:bidi="ar-SA"/>
    </w:rPr>
  </w:style>
  <w:style w:type="character" w:styleId="DefaultParagraphFont" w:default="1">
    <w:name w:val="Default Paragraph Font"/>
    <w:uiPriority w:val="1"/>
    <w:semiHidden/>
    <w:unhideWhenUsed/>
    <w:qFormat/>
    <w:rPr/>
  </w:style>
  <w:style w:type="character" w:styleId="BezodstpwZnak" w:customStyle="1">
    <w:name w:val="Bez odstępów Znak"/>
    <w:link w:val="Bezodstpw"/>
    <w:qFormat/>
    <w:locked/>
    <w:rsid w:val="005e4674"/>
    <w:rPr>
      <w:rFonts w:ascii="Calibri" w:hAnsi="Calibri" w:eastAsia="Calibri" w:cs="Times New Roman"/>
    </w:rPr>
  </w:style>
  <w:style w:type="character" w:styleId="Tekstpodstawowy2Znak" w:customStyle="1">
    <w:name w:val="Tekst podstawowy 2 Znak"/>
    <w:basedOn w:val="DefaultParagraphFont"/>
    <w:link w:val="Tekstpodstawowy2"/>
    <w:uiPriority w:val="99"/>
    <w:semiHidden/>
    <w:qFormat/>
    <w:rsid w:val="005e4674"/>
    <w:rPr/>
  </w:style>
  <w:style w:type="character" w:styleId="TekstdymkaZnak" w:customStyle="1">
    <w:name w:val="Tekst dymka Znak"/>
    <w:basedOn w:val="DefaultParagraphFont"/>
    <w:link w:val="Tekstdymka"/>
    <w:uiPriority w:val="99"/>
    <w:semiHidden/>
    <w:qFormat/>
    <w:rsid w:val="00655fd7"/>
    <w:rPr>
      <w:rFonts w:ascii="Segoe UI" w:hAnsi="Segoe UI" w:cs="Segoe UI"/>
      <w:sz w:val="18"/>
      <w:szCs w:val="18"/>
    </w:rPr>
  </w:style>
  <w:style w:type="character" w:styleId="Czeinternetowe">
    <w:name w:val="Łącze internetowe"/>
    <w:basedOn w:val="DefaultParagraphFont"/>
    <w:uiPriority w:val="99"/>
    <w:semiHidden/>
    <w:unhideWhenUsed/>
    <w:rsid w:val="007e50f3"/>
    <w:rPr>
      <w:color w:val="0000FF"/>
      <w:u w:val="single"/>
    </w:rPr>
  </w:style>
  <w:style w:type="character" w:styleId="TekstpodstawowyZnak" w:customStyle="1">
    <w:name w:val="Tekst podstawowy Znak"/>
    <w:basedOn w:val="DefaultParagraphFont"/>
    <w:link w:val="Tekstpodstawowy"/>
    <w:uiPriority w:val="99"/>
    <w:semiHidden/>
    <w:qFormat/>
    <w:rsid w:val="009f2c1a"/>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rFonts w:eastAsia="Calibri" w:cs="Times New Roman"/>
    </w:rPr>
  </w:style>
  <w:style w:type="character" w:styleId="ListLabel20">
    <w:name w:val="ListLabel 20"/>
    <w:qFormat/>
    <w:rPr>
      <w:b/>
    </w:rPr>
  </w:style>
  <w:style w:type="character" w:styleId="ListLabel21">
    <w:name w:val="ListLabel 21"/>
    <w:qFormat/>
    <w:rPr>
      <w:b/>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ascii="Arial Narrow" w:hAnsi="Arial Narrow" w:eastAsia="Calibri" w:cs="Times New Roman"/>
      <w:b/>
      <w:sz w:val="26"/>
      <w:szCs w:val="28"/>
    </w:rPr>
  </w:style>
  <w:style w:type="character" w:styleId="ListLabel29">
    <w:name w:val="ListLabel 29"/>
    <w:qFormat/>
    <w:rPr>
      <w:rFonts w:ascii="Arial Narrow" w:hAnsi="Arial Narrow" w:cs="Symbol"/>
      <w:sz w:val="24"/>
    </w:rPr>
  </w:style>
  <w:style w:type="character" w:styleId="ListLabel30">
    <w:name w:val="ListLabel 30"/>
    <w:qFormat/>
    <w:rPr>
      <w:rFonts w:cs="Symbol"/>
    </w:rPr>
  </w:style>
  <w:style w:type="character" w:styleId="ListLabel31">
    <w:name w:val="ListLabel 31"/>
    <w:qFormat/>
    <w:rPr>
      <w:rFonts w:ascii="Arial Narrow" w:hAnsi="Arial Narrow" w:eastAsia="Calibri" w:cs="Times New Roman"/>
      <w:b/>
      <w:sz w:val="26"/>
      <w:szCs w:val="28"/>
    </w:rPr>
  </w:style>
  <w:style w:type="character" w:styleId="ListLabel32">
    <w:name w:val="ListLabel 32"/>
    <w:qFormat/>
    <w:rPr>
      <w:rFonts w:ascii="Arial Narrow" w:hAnsi="Arial Narrow" w:cs="Symbol"/>
      <w:sz w:val="24"/>
    </w:rPr>
  </w:style>
  <w:style w:type="character" w:styleId="ListLabel33">
    <w:name w:val="ListLabel 33"/>
    <w:qFormat/>
    <w:rPr>
      <w:rFonts w:cs="Symbol"/>
    </w:rPr>
  </w:style>
  <w:style w:type="character" w:styleId="ListLabel34">
    <w:name w:val="ListLabel 34"/>
    <w:qFormat/>
    <w:rPr>
      <w:rFonts w:ascii="Arial Narrow" w:hAnsi="Arial Narrow" w:eastAsia="Calibri" w:cs="Times New Roman"/>
      <w:b/>
      <w:sz w:val="26"/>
      <w:szCs w:val="28"/>
    </w:rPr>
  </w:style>
  <w:style w:type="character" w:styleId="ListLabel35">
    <w:name w:val="ListLabel 35"/>
    <w:qFormat/>
    <w:rPr>
      <w:rFonts w:ascii="Arial Narrow" w:hAnsi="Arial Narrow" w:cs="Symbol"/>
      <w:sz w:val="24"/>
    </w:rPr>
  </w:style>
  <w:style w:type="character" w:styleId="ListLabel36">
    <w:name w:val="ListLabel 36"/>
    <w:qFormat/>
    <w:rPr>
      <w:rFonts w:cs="Symbol"/>
    </w:rPr>
  </w:style>
  <w:style w:type="character" w:styleId="ListLabel37">
    <w:name w:val="ListLabel 37"/>
    <w:qFormat/>
    <w:rPr>
      <w:rFonts w:ascii="Arial Narrow" w:hAnsi="Arial Narrow" w:eastAsia="Calibri" w:cs="Times New Roman"/>
      <w:b/>
      <w:sz w:val="26"/>
      <w:szCs w:val="28"/>
    </w:rPr>
  </w:style>
  <w:style w:type="character" w:styleId="ListLabel38">
    <w:name w:val="ListLabel 38"/>
    <w:qFormat/>
    <w:rPr>
      <w:rFonts w:ascii="Arial Narrow" w:hAnsi="Arial Narrow" w:cs="Symbol"/>
      <w:sz w:val="24"/>
    </w:rPr>
  </w:style>
  <w:style w:type="character" w:styleId="ListLabel39">
    <w:name w:val="ListLabel 39"/>
    <w:qFormat/>
    <w:rPr>
      <w:rFonts w:cs="Symbol"/>
    </w:rPr>
  </w:style>
  <w:style w:type="character" w:styleId="ListLabel40">
    <w:name w:val="ListLabel 40"/>
    <w:qFormat/>
    <w:rPr>
      <w:rFonts w:ascii="Arial Narrow" w:hAnsi="Arial Narrow" w:eastAsia="Calibri" w:cs="Times New Roman"/>
      <w:b/>
      <w:sz w:val="26"/>
      <w:szCs w:val="28"/>
    </w:rPr>
  </w:style>
  <w:style w:type="character" w:styleId="ListLabel41">
    <w:name w:val="ListLabel 41"/>
    <w:qFormat/>
    <w:rPr>
      <w:rFonts w:ascii="Arial Narrow" w:hAnsi="Arial Narrow" w:cs="Symbol"/>
      <w:sz w:val="24"/>
    </w:rPr>
  </w:style>
  <w:style w:type="character" w:styleId="ListLabel42">
    <w:name w:val="ListLabel 42"/>
    <w:qFormat/>
    <w:rPr>
      <w:rFonts w:cs="Symbol"/>
    </w:rPr>
  </w:style>
  <w:style w:type="character" w:styleId="ListLabel43">
    <w:name w:val="ListLabel 43"/>
    <w:qFormat/>
    <w:rPr>
      <w:rFonts w:ascii="Arial Narrow" w:hAnsi="Arial Narrow" w:eastAsia="Calibri" w:cs="Times New Roman"/>
      <w:b/>
      <w:sz w:val="26"/>
      <w:szCs w:val="28"/>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99"/>
    <w:semiHidden/>
    <w:unhideWhenUsed/>
    <w:rsid w:val="009f2c1a"/>
    <w:pPr>
      <w:spacing w:before="0" w:after="12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efault" w:customStyle="1">
    <w:name w:val="Default"/>
    <w:qFormat/>
    <w:rsid w:val="005e4674"/>
    <w:pPr>
      <w:widowControl/>
      <w:bidi w:val="0"/>
      <w:spacing w:lineRule="auto" w:line="240" w:before="0" w:after="0"/>
      <w:jc w:val="left"/>
    </w:pPr>
    <w:rPr>
      <w:rFonts w:ascii="Times New Roman" w:hAnsi="Times New Roman" w:eastAsia="Calibri" w:cs="Times New Roman"/>
      <w:color w:val="000000"/>
      <w:kern w:val="0"/>
      <w:sz w:val="24"/>
      <w:szCs w:val="24"/>
      <w:lang w:val="pl-PL" w:eastAsia="en-US" w:bidi="ar-SA"/>
    </w:rPr>
  </w:style>
  <w:style w:type="paragraph" w:styleId="Aniak" w:customStyle="1">
    <w:name w:val="ania k"/>
    <w:qFormat/>
    <w:rsid w:val="005e4674"/>
    <w:pPr>
      <w:widowControl w:val="false"/>
      <w:bidi w:val="0"/>
      <w:spacing w:lineRule="auto" w:line="240" w:before="0" w:after="0"/>
      <w:jc w:val="both"/>
    </w:pPr>
    <w:rPr>
      <w:rFonts w:ascii="Times New Roman" w:hAnsi="Times New Roman" w:eastAsia="Calibri" w:cs="Times New Roman" w:eastAsiaTheme="minorHAnsi"/>
      <w:color w:val="00000A"/>
      <w:kern w:val="0"/>
      <w:sz w:val="24"/>
      <w:szCs w:val="22"/>
      <w:lang w:val="pl-PL" w:eastAsia="en-US" w:bidi="ar-SA"/>
    </w:rPr>
  </w:style>
  <w:style w:type="paragraph" w:styleId="NoSpacing">
    <w:name w:val="No Spacing"/>
    <w:link w:val="BezodstpwZnak"/>
    <w:qFormat/>
    <w:rsid w:val="005e4674"/>
    <w:pPr>
      <w:widowControl/>
      <w:bidi w:val="0"/>
      <w:spacing w:lineRule="auto" w:line="240" w:before="0" w:after="0"/>
      <w:jc w:val="left"/>
    </w:pPr>
    <w:rPr>
      <w:rFonts w:ascii="Calibri" w:hAnsi="Calibri" w:eastAsia="Calibri" w:cs="Times New Roman" w:asciiTheme="minorHAnsi" w:eastAsiaTheme="minorHAnsi" w:hAnsiTheme="minorHAnsi"/>
      <w:color w:val="00000A"/>
      <w:kern w:val="0"/>
      <w:sz w:val="22"/>
      <w:szCs w:val="22"/>
      <w:lang w:val="pl-PL" w:eastAsia="en-US" w:bidi="ar-SA"/>
    </w:rPr>
  </w:style>
  <w:style w:type="paragraph" w:styleId="BodyText2">
    <w:name w:val="Body Text 2"/>
    <w:basedOn w:val="Normal"/>
    <w:link w:val="Tekstpodstawowy2Znak"/>
    <w:uiPriority w:val="99"/>
    <w:semiHidden/>
    <w:unhideWhenUsed/>
    <w:qFormat/>
    <w:rsid w:val="005e4674"/>
    <w:pPr>
      <w:spacing w:lineRule="auto" w:line="480" w:before="0" w:after="120"/>
    </w:pPr>
    <w:rPr/>
  </w:style>
  <w:style w:type="paragraph" w:styleId="ListParagraph">
    <w:name w:val="List Paragraph"/>
    <w:basedOn w:val="Normal"/>
    <w:uiPriority w:val="34"/>
    <w:qFormat/>
    <w:rsid w:val="00ce5179"/>
    <w:pPr>
      <w:spacing w:before="0" w:after="160"/>
      <w:ind w:left="720" w:hanging="0"/>
      <w:contextualSpacing/>
    </w:pPr>
    <w:rPr/>
  </w:style>
  <w:style w:type="paragraph" w:styleId="BalloonText">
    <w:name w:val="Balloon Text"/>
    <w:basedOn w:val="Normal"/>
    <w:link w:val="TekstdymkaZnak"/>
    <w:uiPriority w:val="99"/>
    <w:semiHidden/>
    <w:unhideWhenUsed/>
    <w:qFormat/>
    <w:rsid w:val="00655fd7"/>
    <w:pPr>
      <w:spacing w:lineRule="auto" w:line="240" w:before="0" w:after="0"/>
    </w:pPr>
    <w:rPr>
      <w:rFonts w:ascii="Segoe UI" w:hAnsi="Segoe UI" w:cs="Segoe UI"/>
      <w:sz w:val="18"/>
      <w:szCs w:val="18"/>
    </w:rPr>
  </w:style>
  <w:style w:type="paragraph" w:styleId="NormalWeb">
    <w:name w:val="Normal (Web)"/>
    <w:basedOn w:val="Normal"/>
    <w:uiPriority w:val="99"/>
    <w:unhideWhenUsed/>
    <w:qFormat/>
    <w:rsid w:val="007e50f3"/>
    <w:pPr>
      <w:spacing w:lineRule="auto" w:line="240" w:beforeAutospacing="1" w:afterAutospacing="1"/>
    </w:pPr>
    <w:rPr>
      <w:rFonts w:ascii="Times New Roman" w:hAnsi="Times New Roman" w:eastAsia="Times New Roman" w:cs="Times New Roman"/>
      <w:sz w:val="24"/>
      <w:szCs w:val="24"/>
      <w:lang w:eastAsia="pl-PL"/>
    </w:rPr>
  </w:style>
  <w:style w:type="paragraph" w:styleId="Standard" w:customStyle="1">
    <w:name w:val="Standard"/>
    <w:qFormat/>
    <w:rsid w:val="00ec77d0"/>
    <w:pPr>
      <w:widowControl/>
      <w:suppressAutoHyphens w:val="true"/>
      <w:bidi w:val="0"/>
      <w:spacing w:lineRule="auto" w:line="240" w:before="0" w:after="0"/>
      <w:jc w:val="left"/>
    </w:pPr>
    <w:rPr>
      <w:rFonts w:ascii="Times New Roman" w:hAnsi="Times New Roman" w:eastAsia="Times New Roman" w:cs="Times New Roman"/>
      <w:color w:val="00000A"/>
      <w:kern w:val="0"/>
      <w:sz w:val="20"/>
      <w:szCs w:val="20"/>
      <w:lang w:val="pl-PL" w:eastAsia="pl-PL"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6148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pl.wikipedia.org/wiki/Instytucja_kultury"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9F4FB-BC82-4375-8889-8E73296A2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Application>LibreOffice/5.4.4.2$Windows_X86_64 LibreOffice_project/2524958677847fb3bb44820e40380acbe820f960</Application>
  <Pages>14</Pages>
  <Words>3704</Words>
  <Characters>23998</Characters>
  <CharactersWithSpaces>28479</CharactersWithSpaces>
  <Paragraphs>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2017-07-21T08:32:00Z</dcterms:created>
  <dc:creator>GOPS_001</dc:creator>
  <dc:description/>
  <dc:language>pl-PL</dc:language>
  <cp:lastModifiedBy/>
  <cp:lastPrinted>2017-12-06T11:49:02Z</cp:lastPrinted>
  <dcterms:modified xsi:type="dcterms:W3CDTF">2018-01-18T11:18:00Z</dcterms:modified>
  <cp:revision>59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