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media/image1.jpeg" ContentType="image/jpeg"/>
  <Override PartName="/word/media/image2.jpeg" ContentType="image/jpeg"/>
  <Override PartName="/word/numbering.xml" ContentType="application/vnd.openxmlformats-officedocument.wordprocessingml.number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i/>
          <w:i/>
          <w:color w:val="000000"/>
          <w:sz w:val="24"/>
          <w:szCs w:val="24"/>
        </w:rPr>
      </w:pPr>
      <w:r>
        <w:rPr>
          <w:b/>
          <w:color w:val="000000"/>
          <w:sz w:val="28"/>
          <w:szCs w:val="28"/>
        </w:rPr>
        <w:t>Protokół Nr XXXII/18</w:t>
      </w:r>
    </w:p>
    <w:p>
      <w:pPr>
        <w:pStyle w:val="Normal"/>
        <w:rPr>
          <w:b/>
          <w:b/>
          <w:i/>
          <w:i/>
          <w:color w:val="000000"/>
          <w:sz w:val="24"/>
          <w:szCs w:val="24"/>
        </w:rPr>
      </w:pPr>
      <w:r>
        <w:rPr>
          <w:b/>
          <w:i/>
          <w:color w:val="000000"/>
          <w:sz w:val="24"/>
          <w:szCs w:val="24"/>
        </w:rPr>
      </w:r>
    </w:p>
    <w:p>
      <w:pPr>
        <w:pStyle w:val="Normal"/>
        <w:jc w:val="both"/>
        <w:rPr>
          <w:b/>
          <w:b/>
          <w:sz w:val="24"/>
          <w:szCs w:val="24"/>
        </w:rPr>
      </w:pPr>
      <w:r>
        <w:rPr>
          <w:b/>
          <w:sz w:val="24"/>
          <w:szCs w:val="24"/>
        </w:rPr>
        <w:t>z trzydziestej drugiej sesji Rady Gminy Lidzbark Warmiński, która odbyła się w dniu</w:t>
        <w:br/>
        <w:t>1 marca 2018 r. w Gminnym  Ośrodku Kultury i Sportu w PILNIKU.</w:t>
      </w:r>
    </w:p>
    <w:p>
      <w:pPr>
        <w:pStyle w:val="Normal"/>
        <w:ind w:left="0" w:right="0" w:firstLine="708"/>
        <w:rPr>
          <w:b/>
          <w:b/>
          <w:sz w:val="24"/>
          <w:szCs w:val="24"/>
        </w:rPr>
      </w:pPr>
      <w:r>
        <w:rPr>
          <w:b/>
          <w:sz w:val="24"/>
          <w:szCs w:val="24"/>
        </w:rPr>
      </w:r>
    </w:p>
    <w:p>
      <w:pPr>
        <w:pStyle w:val="Normal"/>
        <w:jc w:val="both"/>
        <w:rPr/>
      </w:pPr>
      <w:r>
        <w:rPr>
          <w:b/>
          <w:sz w:val="24"/>
          <w:szCs w:val="24"/>
        </w:rPr>
        <w:t xml:space="preserve"> </w:t>
      </w:r>
      <w:r>
        <w:rPr>
          <w:sz w:val="24"/>
          <w:szCs w:val="24"/>
        </w:rPr>
        <w:t>Obrady rozpoczęto o godz. 12</w:t>
      </w:r>
      <w:r>
        <w:rPr>
          <w:sz w:val="24"/>
          <w:szCs w:val="24"/>
          <w:vertAlign w:val="superscript"/>
        </w:rPr>
        <w:t xml:space="preserve">05 </w:t>
      </w:r>
      <w:r>
        <w:rPr>
          <w:sz w:val="24"/>
          <w:szCs w:val="24"/>
        </w:rPr>
        <w:t>, a zakończono o godz. 12</w:t>
      </w:r>
      <w:r>
        <w:rPr>
          <w:sz w:val="24"/>
          <w:szCs w:val="24"/>
          <w:vertAlign w:val="superscript"/>
        </w:rPr>
        <w:t>50</w:t>
      </w:r>
    </w:p>
    <w:p>
      <w:pPr>
        <w:pStyle w:val="Nagwek1"/>
        <w:numPr>
          <w:ilvl w:val="0"/>
          <w:numId w:val="2"/>
        </w:numPr>
        <w:tabs>
          <w:tab w:val="left" w:pos="7291" w:leader="none"/>
        </w:tabs>
        <w:jc w:val="both"/>
        <w:rPr>
          <w:szCs w:val="24"/>
        </w:rPr>
      </w:pPr>
      <w:r>
        <w:rPr>
          <w:szCs w:val="24"/>
        </w:rPr>
        <w:tab/>
        <w:t xml:space="preserve">        </w:t>
      </w:r>
    </w:p>
    <w:p>
      <w:pPr>
        <w:pStyle w:val="Nagwek1"/>
        <w:numPr>
          <w:ilvl w:val="0"/>
          <w:numId w:val="2"/>
        </w:numPr>
        <w:jc w:val="both"/>
        <w:rPr/>
      </w:pPr>
      <w:r>
        <w:rPr>
          <w:szCs w:val="24"/>
        </w:rPr>
        <w:t>Stan Rady Gminy</w:t>
        <w:tab/>
        <w:t xml:space="preserve">  - </w:t>
      </w:r>
      <w:r>
        <w:rPr>
          <w:b/>
          <w:szCs w:val="24"/>
        </w:rPr>
        <w:t>15</w:t>
      </w:r>
      <w:r>
        <w:rPr>
          <w:szCs w:val="24"/>
        </w:rPr>
        <w:t xml:space="preserve"> radnych</w:t>
      </w:r>
    </w:p>
    <w:p>
      <w:pPr>
        <w:pStyle w:val="Nagwek1"/>
        <w:numPr>
          <w:ilvl w:val="0"/>
          <w:numId w:val="2"/>
        </w:numPr>
        <w:jc w:val="both"/>
        <w:rPr/>
      </w:pPr>
      <w:r>
        <w:rPr>
          <w:szCs w:val="24"/>
        </w:rPr>
        <w:t>Radnych obecnych</w:t>
        <w:tab/>
        <w:t xml:space="preserve">  - </w:t>
      </w:r>
      <w:r>
        <w:rPr>
          <w:b/>
          <w:szCs w:val="24"/>
        </w:rPr>
        <w:t>11</w:t>
      </w:r>
    </w:p>
    <w:p>
      <w:pPr>
        <w:pStyle w:val="Normal"/>
        <w:rPr/>
      </w:pPr>
      <w:r>
        <w:rPr/>
      </w:r>
    </w:p>
    <w:p>
      <w:pPr>
        <w:pStyle w:val="Normal"/>
        <w:jc w:val="both"/>
        <w:rPr>
          <w:i/>
          <w:i/>
          <w:sz w:val="24"/>
          <w:szCs w:val="24"/>
        </w:rPr>
      </w:pPr>
      <w:r>
        <w:rPr>
          <w:i/>
          <w:sz w:val="24"/>
          <w:szCs w:val="24"/>
        </w:rPr>
        <w:t>Na sesji nieobecni byli radni Edward Grabowski, Ireneusz Gadomski, Agnieszka Korosteńska, Jan Pałka.</w:t>
      </w:r>
    </w:p>
    <w:p>
      <w:pPr>
        <w:pStyle w:val="Normal"/>
        <w:jc w:val="both"/>
        <w:rPr>
          <w:sz w:val="24"/>
          <w:szCs w:val="24"/>
        </w:rPr>
      </w:pPr>
      <w:r>
        <w:rPr>
          <w:i/>
          <w:sz w:val="24"/>
          <w:szCs w:val="24"/>
        </w:rPr>
        <w:t>Lista obecności radnych stanowi załącznik nr 1 do niniejszego protokołu.</w:t>
      </w:r>
    </w:p>
    <w:p>
      <w:pPr>
        <w:pStyle w:val="Normal"/>
        <w:jc w:val="both"/>
        <w:rPr>
          <w:sz w:val="24"/>
          <w:szCs w:val="24"/>
        </w:rPr>
      </w:pPr>
      <w:r>
        <w:rPr>
          <w:sz w:val="24"/>
          <w:szCs w:val="24"/>
        </w:rPr>
      </w:r>
    </w:p>
    <w:p>
      <w:pPr>
        <w:pStyle w:val="Normal"/>
        <w:jc w:val="both"/>
        <w:rPr/>
      </w:pPr>
      <w:r>
        <w:rPr>
          <w:sz w:val="24"/>
          <w:szCs w:val="24"/>
        </w:rPr>
        <w:t>Podjęto 8 uchwał - od nr  246</w:t>
      </w:r>
      <w:r>
        <w:rPr>
          <w:b/>
          <w:sz w:val="24"/>
          <w:szCs w:val="24"/>
        </w:rPr>
        <w:t xml:space="preserve"> </w:t>
      </w:r>
      <w:r>
        <w:rPr>
          <w:sz w:val="24"/>
          <w:szCs w:val="24"/>
        </w:rPr>
        <w:t>do nr 253</w:t>
      </w:r>
      <w:r>
        <w:rPr>
          <w:b/>
          <w:sz w:val="24"/>
          <w:szCs w:val="24"/>
        </w:rPr>
        <w:t>.</w:t>
      </w:r>
    </w:p>
    <w:p>
      <w:pPr>
        <w:pStyle w:val="Tekstpodstawowywcity31"/>
        <w:spacing w:before="0" w:after="0"/>
        <w:rPr>
          <w:b/>
          <w:b/>
          <w:sz w:val="24"/>
          <w:szCs w:val="24"/>
        </w:rPr>
      </w:pPr>
      <w:r>
        <w:rPr>
          <w:b/>
          <w:sz w:val="24"/>
          <w:szCs w:val="24"/>
        </w:rPr>
      </w:r>
    </w:p>
    <w:p>
      <w:pPr>
        <w:pStyle w:val="Normal"/>
        <w:jc w:val="both"/>
        <w:rPr>
          <w:sz w:val="24"/>
          <w:szCs w:val="24"/>
        </w:rPr>
      </w:pPr>
      <w:r>
        <w:rPr>
          <w:sz w:val="24"/>
          <w:szCs w:val="24"/>
        </w:rPr>
        <w:t>Ponadto, w sesji uczestniczyli:</w:t>
      </w:r>
    </w:p>
    <w:p>
      <w:pPr>
        <w:pStyle w:val="Normal"/>
        <w:jc w:val="both"/>
        <w:rPr>
          <w:sz w:val="24"/>
          <w:szCs w:val="24"/>
        </w:rPr>
      </w:pPr>
      <w:r>
        <w:rPr>
          <w:sz w:val="24"/>
          <w:szCs w:val="24"/>
        </w:rPr>
        <w:t xml:space="preserve">Wójt Gminy </w:t>
        <w:tab/>
        <w:tab/>
        <w:t>-  Fabian Andrukajtis</w:t>
      </w:r>
    </w:p>
    <w:p>
      <w:pPr>
        <w:pStyle w:val="Normal"/>
        <w:jc w:val="both"/>
        <w:rPr>
          <w:sz w:val="24"/>
          <w:szCs w:val="24"/>
        </w:rPr>
      </w:pPr>
      <w:r>
        <w:rPr>
          <w:sz w:val="24"/>
          <w:szCs w:val="24"/>
        </w:rPr>
        <w:t>Z-ca Wójta Gminy</w:t>
        <w:tab/>
        <w:t>-  Tomasz Kołodziejczyk</w:t>
      </w:r>
    </w:p>
    <w:p>
      <w:pPr>
        <w:pStyle w:val="Normal"/>
        <w:jc w:val="both"/>
        <w:rPr>
          <w:sz w:val="24"/>
          <w:szCs w:val="24"/>
        </w:rPr>
      </w:pPr>
      <w:r>
        <w:rPr>
          <w:sz w:val="24"/>
          <w:szCs w:val="24"/>
        </w:rPr>
        <w:t>Sekretarz Gminy        -  Ryszard Kielak</w:t>
      </w:r>
    </w:p>
    <w:p>
      <w:pPr>
        <w:pStyle w:val="Normal"/>
        <w:jc w:val="both"/>
        <w:rPr>
          <w:sz w:val="24"/>
          <w:szCs w:val="24"/>
        </w:rPr>
      </w:pPr>
      <w:r>
        <w:rPr>
          <w:sz w:val="24"/>
          <w:szCs w:val="24"/>
        </w:rPr>
        <w:t xml:space="preserve">Skarbnik Gminy </w:t>
        <w:tab/>
        <w:t>-  Małgorzata Sobolewska</w:t>
      </w:r>
    </w:p>
    <w:p>
      <w:pPr>
        <w:pStyle w:val="Normal"/>
        <w:jc w:val="both"/>
        <w:rPr>
          <w:sz w:val="24"/>
          <w:szCs w:val="24"/>
        </w:rPr>
      </w:pPr>
      <w:r>
        <w:rPr>
          <w:sz w:val="24"/>
          <w:szCs w:val="24"/>
        </w:rPr>
      </w:r>
    </w:p>
    <w:p>
      <w:pPr>
        <w:pStyle w:val="Normal"/>
        <w:rPr>
          <w:i/>
          <w:i/>
          <w:sz w:val="24"/>
          <w:szCs w:val="24"/>
        </w:rPr>
      </w:pPr>
      <w:r>
        <w:rPr>
          <w:i/>
          <w:sz w:val="24"/>
          <w:szCs w:val="24"/>
        </w:rPr>
        <w:t xml:space="preserve">Sołtysi, zaproszeni goście, pracownicy Urzędu Gminy i mieszkańcy gminy wg listy obecności zał. Nr 2. </w:t>
      </w:r>
    </w:p>
    <w:p>
      <w:pPr>
        <w:pStyle w:val="Normal"/>
        <w:jc w:val="both"/>
        <w:rPr>
          <w:b/>
          <w:b/>
          <w:sz w:val="24"/>
          <w:szCs w:val="24"/>
        </w:rPr>
      </w:pPr>
      <w:r>
        <w:rPr>
          <w:i/>
          <w:sz w:val="24"/>
          <w:szCs w:val="24"/>
        </w:rPr>
        <w:t xml:space="preserve"> </w:t>
      </w:r>
    </w:p>
    <w:p>
      <w:pPr>
        <w:pStyle w:val="Normal"/>
        <w:jc w:val="both"/>
        <w:rPr>
          <w:b/>
          <w:b/>
          <w:sz w:val="24"/>
          <w:szCs w:val="24"/>
        </w:rPr>
      </w:pPr>
      <w:r>
        <w:rPr>
          <w:b/>
          <w:sz w:val="24"/>
          <w:szCs w:val="24"/>
        </w:rPr>
        <w:t>Pkt 1. – Otwarcie i uchwalenie porządku obrad.</w:t>
      </w:r>
    </w:p>
    <w:p>
      <w:pPr>
        <w:pStyle w:val="Normal"/>
        <w:ind w:left="0" w:right="0" w:firstLine="708"/>
        <w:jc w:val="both"/>
        <w:rPr>
          <w:b/>
          <w:b/>
          <w:sz w:val="24"/>
          <w:szCs w:val="24"/>
        </w:rPr>
      </w:pPr>
      <w:r>
        <w:rPr>
          <w:b/>
          <w:sz w:val="24"/>
          <w:szCs w:val="24"/>
        </w:rPr>
      </w:r>
    </w:p>
    <w:p>
      <w:pPr>
        <w:pStyle w:val="Normal"/>
        <w:ind w:left="0" w:right="0" w:hanging="0"/>
        <w:jc w:val="both"/>
        <w:rPr>
          <w:sz w:val="24"/>
          <w:szCs w:val="24"/>
        </w:rPr>
      </w:pPr>
      <w:r>
        <w:rPr>
          <w:sz w:val="24"/>
          <w:szCs w:val="24"/>
        </w:rPr>
        <w:t>Sesję otworzył Przewodniczący Rady Gminy Lidzbark Warmiński p. Jan Znamierowski.</w:t>
      </w:r>
    </w:p>
    <w:p>
      <w:pPr>
        <w:pStyle w:val="Normal"/>
        <w:ind w:left="0" w:right="0" w:hanging="0"/>
        <w:jc w:val="both"/>
        <w:rPr>
          <w:sz w:val="24"/>
          <w:szCs w:val="24"/>
        </w:rPr>
      </w:pPr>
      <w:r>
        <w:rPr>
          <w:sz w:val="24"/>
          <w:szCs w:val="24"/>
        </w:rPr>
        <w:t>Przywitał Wójta Gminy</w:t>
      </w:r>
      <w:r>
        <w:rPr>
          <w:b w:val="false"/>
          <w:bCs w:val="false"/>
          <w:sz w:val="24"/>
          <w:szCs w:val="24"/>
        </w:rPr>
        <w:t xml:space="preserve">, </w:t>
      </w:r>
      <w:r>
        <w:rPr>
          <w:sz w:val="24"/>
          <w:szCs w:val="24"/>
        </w:rPr>
        <w:t>wszystkich radnych, sołtysów oraz przybyłych na sesję gości.</w:t>
      </w:r>
    </w:p>
    <w:p>
      <w:pPr>
        <w:pStyle w:val="Normal"/>
        <w:ind w:left="0" w:right="0" w:hanging="0"/>
        <w:jc w:val="both"/>
        <w:rPr/>
      </w:pPr>
      <w:r>
        <w:rPr>
          <w:sz w:val="24"/>
          <w:szCs w:val="24"/>
        </w:rPr>
        <w:t xml:space="preserve">Stwierdził, że Rada Gminy liczy </w:t>
      </w:r>
      <w:r>
        <w:rPr>
          <w:b/>
          <w:sz w:val="24"/>
          <w:szCs w:val="24"/>
        </w:rPr>
        <w:t>15</w:t>
      </w:r>
      <w:r>
        <w:rPr>
          <w:sz w:val="24"/>
          <w:szCs w:val="24"/>
        </w:rPr>
        <w:t xml:space="preserve"> radnych, na sesji obecnych jest </w:t>
      </w:r>
      <w:r>
        <w:rPr>
          <w:b/>
          <w:sz w:val="24"/>
          <w:szCs w:val="24"/>
        </w:rPr>
        <w:t xml:space="preserve">11 </w:t>
      </w:r>
      <w:r>
        <w:rPr>
          <w:sz w:val="24"/>
          <w:szCs w:val="24"/>
        </w:rPr>
        <w:t>radnych w związku z tym, obrady są prawomocne.</w:t>
      </w:r>
    </w:p>
    <w:p>
      <w:pPr>
        <w:pStyle w:val="Normal"/>
        <w:ind w:left="0" w:right="0" w:hanging="0"/>
        <w:jc w:val="both"/>
        <w:rPr>
          <w:b/>
          <w:b/>
          <w:sz w:val="24"/>
          <w:szCs w:val="24"/>
        </w:rPr>
      </w:pPr>
      <w:r>
        <w:rPr>
          <w:sz w:val="24"/>
          <w:szCs w:val="24"/>
        </w:rPr>
        <w:t>Następnie Przewodniczący Rady Gminy przedstawił projekt porządku obrad, który został przesłany wszystkim radnym w zawiadomieniu o zwołaniu sesji:</w:t>
      </w:r>
    </w:p>
    <w:p>
      <w:pPr>
        <w:pStyle w:val="Normal"/>
        <w:numPr>
          <w:ilvl w:val="0"/>
          <w:numId w:val="3"/>
        </w:numPr>
        <w:tabs>
          <w:tab w:val="left" w:pos="540" w:leader="none"/>
        </w:tabs>
        <w:spacing w:before="0" w:after="120"/>
        <w:jc w:val="both"/>
        <w:rPr>
          <w:sz w:val="24"/>
          <w:szCs w:val="24"/>
        </w:rPr>
      </w:pPr>
      <w:r>
        <w:rPr>
          <w:b/>
          <w:sz w:val="24"/>
          <w:szCs w:val="24"/>
        </w:rPr>
        <w:t xml:space="preserve"> </w:t>
      </w:r>
      <w:r>
        <w:rPr>
          <w:sz w:val="24"/>
          <w:szCs w:val="24"/>
        </w:rPr>
        <w:t>Otwarcie i uchwalenie porządku obrad.</w:t>
      </w:r>
    </w:p>
    <w:p>
      <w:pPr>
        <w:pStyle w:val="Normal"/>
        <w:numPr>
          <w:ilvl w:val="0"/>
          <w:numId w:val="3"/>
        </w:numPr>
        <w:tabs>
          <w:tab w:val="left" w:pos="540" w:leader="none"/>
        </w:tabs>
        <w:spacing w:before="0" w:after="120"/>
        <w:jc w:val="both"/>
        <w:rPr>
          <w:sz w:val="24"/>
          <w:szCs w:val="24"/>
        </w:rPr>
      </w:pPr>
      <w:r>
        <w:rPr>
          <w:sz w:val="24"/>
          <w:szCs w:val="24"/>
        </w:rPr>
        <w:t>Przyjęcie protokołu z poprzedniej sesji.</w:t>
      </w:r>
    </w:p>
    <w:p>
      <w:pPr>
        <w:pStyle w:val="Normal"/>
        <w:numPr>
          <w:ilvl w:val="0"/>
          <w:numId w:val="3"/>
        </w:numPr>
        <w:tabs>
          <w:tab w:val="left" w:pos="540" w:leader="none"/>
        </w:tabs>
        <w:spacing w:before="0" w:after="120"/>
        <w:jc w:val="both"/>
        <w:rPr>
          <w:sz w:val="24"/>
          <w:szCs w:val="24"/>
        </w:rPr>
      </w:pPr>
      <w:r>
        <w:rPr>
          <w:sz w:val="24"/>
          <w:szCs w:val="24"/>
        </w:rPr>
        <w:t>Projekt uchwały w sprawie  wprowadzenia zmian w budżecie gminy na 2018 r.</w:t>
      </w:r>
    </w:p>
    <w:p>
      <w:pPr>
        <w:pStyle w:val="Normal"/>
        <w:numPr>
          <w:ilvl w:val="0"/>
          <w:numId w:val="3"/>
        </w:numPr>
        <w:tabs>
          <w:tab w:val="left" w:pos="540" w:leader="none"/>
        </w:tabs>
        <w:spacing w:before="0" w:after="120"/>
        <w:jc w:val="both"/>
        <w:rPr>
          <w:sz w:val="24"/>
          <w:szCs w:val="24"/>
        </w:rPr>
      </w:pPr>
      <w:r>
        <w:rPr>
          <w:sz w:val="24"/>
          <w:szCs w:val="24"/>
        </w:rPr>
        <w:t xml:space="preserve">Projekt uchwały w sprawie wprowadzenia zmian w Wieloletniej Prognozie Finansowej Gminy Lidzbark Warmiński na lata 2018-2035. </w:t>
      </w:r>
    </w:p>
    <w:p>
      <w:pPr>
        <w:pStyle w:val="Normal"/>
        <w:numPr>
          <w:ilvl w:val="0"/>
          <w:numId w:val="3"/>
        </w:numPr>
        <w:tabs>
          <w:tab w:val="left" w:pos="540" w:leader="none"/>
        </w:tabs>
        <w:spacing w:before="0" w:after="120"/>
        <w:jc w:val="both"/>
        <w:rPr/>
      </w:pPr>
      <w:r>
        <w:rPr>
          <w:sz w:val="24"/>
          <w:szCs w:val="24"/>
        </w:rPr>
        <w:t>Projekt uchwały w sprawie przyjęcia programu opieki nad zwierzętami bezdomnymi oraz zapobiegania bezdomności zwierząt na terenie Gminy Lidzbark Warmiński w roku 2018.</w:t>
      </w:r>
    </w:p>
    <w:p>
      <w:pPr>
        <w:pStyle w:val="Normal"/>
        <w:numPr>
          <w:ilvl w:val="0"/>
          <w:numId w:val="3"/>
        </w:numPr>
        <w:tabs>
          <w:tab w:val="left" w:pos="540" w:leader="none"/>
        </w:tabs>
        <w:spacing w:before="0" w:after="120"/>
        <w:jc w:val="both"/>
        <w:rPr>
          <w:sz w:val="24"/>
          <w:szCs w:val="24"/>
        </w:rPr>
      </w:pPr>
      <w:r>
        <w:rPr>
          <w:sz w:val="24"/>
          <w:szCs w:val="24"/>
        </w:rPr>
        <w:t xml:space="preserve">Projekt uchwały w sprawie nieodpłatnego przejęcia nieruchomości </w:t>
      </w:r>
      <w:r>
        <w:rPr>
          <w:i/>
          <w:iCs/>
          <w:sz w:val="24"/>
          <w:szCs w:val="24"/>
        </w:rPr>
        <w:t>(droga w Nowosadach, działka nr 128/3 o pow. 0,1777 ha)</w:t>
      </w:r>
      <w:r>
        <w:rPr>
          <w:sz w:val="24"/>
          <w:szCs w:val="24"/>
        </w:rPr>
        <w:t>.</w:t>
      </w:r>
    </w:p>
    <w:p>
      <w:pPr>
        <w:pStyle w:val="Normal"/>
        <w:numPr>
          <w:ilvl w:val="0"/>
          <w:numId w:val="3"/>
        </w:numPr>
        <w:tabs>
          <w:tab w:val="left" w:pos="540" w:leader="none"/>
        </w:tabs>
        <w:spacing w:before="0" w:after="120"/>
        <w:jc w:val="both"/>
        <w:rPr>
          <w:sz w:val="24"/>
          <w:szCs w:val="24"/>
        </w:rPr>
      </w:pPr>
      <w:r>
        <w:rPr>
          <w:sz w:val="24"/>
          <w:szCs w:val="24"/>
        </w:rPr>
        <w:t>Projekt uchwały w sprawie zrzeczenia się Gminy Lidzbark Warmiński z użytkowania wieczystego dz. gr. nr 324/4 o pow. 0,6237 ha w Łaniewie stanowiącej własność Skarbu Państwa.</w:t>
      </w:r>
    </w:p>
    <w:p>
      <w:pPr>
        <w:pStyle w:val="Normal"/>
        <w:numPr>
          <w:ilvl w:val="0"/>
          <w:numId w:val="3"/>
        </w:numPr>
        <w:tabs>
          <w:tab w:val="left" w:pos="540" w:leader="none"/>
        </w:tabs>
        <w:spacing w:before="0" w:after="120"/>
        <w:jc w:val="both"/>
        <w:rPr>
          <w:sz w:val="24"/>
          <w:szCs w:val="24"/>
        </w:rPr>
      </w:pPr>
      <w:r>
        <w:rPr>
          <w:sz w:val="24"/>
          <w:szCs w:val="24"/>
        </w:rPr>
        <w:t>Projekt uchwały zmieniającej uchwałę Rady Gminy Lidzbark Warmiński w sprawie ustalenia regulaminu określającego wysokość stawek i szczegółowe warunki przyznawania nauczycielom dodatków.</w:t>
      </w:r>
    </w:p>
    <w:p>
      <w:pPr>
        <w:pStyle w:val="Normal"/>
        <w:numPr>
          <w:ilvl w:val="0"/>
          <w:numId w:val="3"/>
        </w:numPr>
        <w:tabs>
          <w:tab w:val="left" w:pos="540" w:leader="none"/>
        </w:tabs>
        <w:spacing w:before="0" w:after="120"/>
        <w:jc w:val="both"/>
        <w:rPr>
          <w:sz w:val="24"/>
          <w:szCs w:val="24"/>
        </w:rPr>
      </w:pPr>
      <w:r>
        <w:rPr>
          <w:sz w:val="24"/>
          <w:szCs w:val="24"/>
        </w:rPr>
        <w:t xml:space="preserve">Informacja Wójta z bieżącej działalności gminy. </w:t>
      </w:r>
    </w:p>
    <w:p>
      <w:pPr>
        <w:pStyle w:val="Normal"/>
        <w:numPr>
          <w:ilvl w:val="0"/>
          <w:numId w:val="3"/>
        </w:numPr>
        <w:tabs>
          <w:tab w:val="left" w:pos="540" w:leader="none"/>
        </w:tabs>
        <w:suppressAutoHyphens w:val="false"/>
        <w:spacing w:before="0" w:after="120"/>
        <w:jc w:val="both"/>
        <w:rPr>
          <w:sz w:val="24"/>
          <w:szCs w:val="24"/>
        </w:rPr>
      </w:pPr>
      <w:r>
        <w:rPr>
          <w:sz w:val="24"/>
          <w:szCs w:val="24"/>
        </w:rPr>
        <w:t>Interpelacje i wnioski.</w:t>
      </w:r>
    </w:p>
    <w:p>
      <w:pPr>
        <w:pStyle w:val="Normal"/>
        <w:ind w:left="0" w:right="0" w:hanging="0"/>
        <w:jc w:val="both"/>
        <w:rPr>
          <w:sz w:val="24"/>
          <w:szCs w:val="24"/>
        </w:rPr>
      </w:pPr>
      <w:r>
        <w:rPr>
          <w:sz w:val="24"/>
          <w:szCs w:val="24"/>
        </w:rPr>
        <w:t>Przewodniczący Rady Gminy zaproponował, że w związku z koniecznością udzielenia odpowiedzi do Wojewódzkiego Sądu Administracyjnego w Olsztynie na skargi złożone przez Prokuratora Rejonowego w Lidzbarku Warmińskim, do przedstawionego projektu porządku obrad    wprowadzić następujące projekty uchwał, jako:</w:t>
      </w:r>
    </w:p>
    <w:p>
      <w:pPr>
        <w:pStyle w:val="Normal"/>
        <w:ind w:left="0" w:right="0" w:hanging="0"/>
        <w:jc w:val="both"/>
        <w:rPr>
          <w:sz w:val="24"/>
          <w:szCs w:val="24"/>
        </w:rPr>
      </w:pPr>
      <w:r>
        <w:rPr>
          <w:sz w:val="24"/>
          <w:szCs w:val="24"/>
        </w:rPr>
      </w:r>
    </w:p>
    <w:p>
      <w:pPr>
        <w:pStyle w:val="Normal"/>
        <w:ind w:left="0" w:right="0" w:hanging="0"/>
        <w:jc w:val="both"/>
        <w:rPr>
          <w:sz w:val="24"/>
          <w:szCs w:val="24"/>
        </w:rPr>
      </w:pPr>
      <w:r>
        <w:rPr>
          <w:b/>
          <w:bCs/>
          <w:sz w:val="24"/>
          <w:szCs w:val="24"/>
        </w:rPr>
        <w:t>Pkt 9.</w:t>
      </w:r>
      <w:r>
        <w:rPr>
          <w:sz w:val="24"/>
          <w:szCs w:val="24"/>
        </w:rPr>
        <w:t xml:space="preserve"> Projekt uchwały w sprawie udzielenia odpowiedzi na skargę do Wojewódzkiego Sądu Administracyjnego w Olsztynie na uchwałę Nr XXXVI/189/06 z dnia 10 marca 2006 r. w sprawie uchwalenia „Regulaminu dostarczania wody i odprowadzania ścieków”.</w:t>
      </w:r>
    </w:p>
    <w:p>
      <w:pPr>
        <w:pStyle w:val="Normal"/>
        <w:ind w:left="0" w:right="0" w:hanging="0"/>
        <w:jc w:val="both"/>
        <w:rPr>
          <w:sz w:val="24"/>
          <w:szCs w:val="24"/>
        </w:rPr>
      </w:pPr>
      <w:r>
        <w:rPr>
          <w:sz w:val="24"/>
          <w:szCs w:val="24"/>
        </w:rPr>
        <w:t>oraz</w:t>
      </w:r>
    </w:p>
    <w:p>
      <w:pPr>
        <w:pStyle w:val="Normal"/>
        <w:ind w:left="0" w:right="0" w:hanging="0"/>
        <w:jc w:val="both"/>
        <w:rPr>
          <w:sz w:val="24"/>
          <w:szCs w:val="24"/>
        </w:rPr>
      </w:pPr>
      <w:r>
        <w:rPr>
          <w:b/>
          <w:bCs/>
          <w:sz w:val="24"/>
          <w:szCs w:val="24"/>
        </w:rPr>
        <w:t>Pkt 10.</w:t>
      </w:r>
      <w:r>
        <w:rPr>
          <w:sz w:val="24"/>
          <w:szCs w:val="24"/>
        </w:rPr>
        <w:t xml:space="preserve"> Projekt uchwały w sprawie udzielenia odpowiedzi na skargę do Wojewódzkiego Sądu Administracyjnego w Olsztynie na uchwałę Nr XX/173/2017 z dnia 23 lutego 2017 r. w sprawie przyjęcia programu opieki nad zwierzętami bezdomnymi oraz zapobiegania bezdomności zwierząt na terenie Gminy Lidzbark Warmiński na rok 2017.</w:t>
      </w:r>
    </w:p>
    <w:p>
      <w:pPr>
        <w:pStyle w:val="Normal"/>
        <w:ind w:left="0" w:right="0" w:hanging="0"/>
        <w:jc w:val="both"/>
        <w:rPr/>
      </w:pPr>
      <w:r>
        <w:rPr>
          <w:sz w:val="24"/>
          <w:szCs w:val="24"/>
        </w:rPr>
        <w:t xml:space="preserve">W związku z tym kolejne punkty porządku obrad zmieniły kolejność. </w:t>
      </w:r>
    </w:p>
    <w:p>
      <w:pPr>
        <w:pStyle w:val="Normal"/>
        <w:ind w:left="0" w:right="0" w:firstLine="709"/>
        <w:jc w:val="both"/>
        <w:rPr/>
      </w:pPr>
      <w:r>
        <w:rPr>
          <w:sz w:val="24"/>
          <w:szCs w:val="24"/>
        </w:rPr>
        <w:t>W wyniku głosowania, w którym wzięło udział 11 radnych, Rada Gminy jednogłośnie</w:t>
        <w:br/>
        <w:t>(11 głosów „ZA”, 0 głosów „PRZECIW”, nikt nie wstrzymał się od głosu) uchwaliła przedstawiony przez Przewodniczącego Rady Gminy porządek obrad wraz z poprawkami</w:t>
      </w:r>
    </w:p>
    <w:p>
      <w:pPr>
        <w:pStyle w:val="Normal"/>
        <w:rPr>
          <w:b w:val="false"/>
          <w:b w:val="false"/>
          <w:bCs w:val="false"/>
          <w:i/>
          <w:i/>
          <w:iCs/>
        </w:rPr>
      </w:pPr>
      <w:r>
        <w:rPr>
          <w:b w:val="false"/>
          <w:bCs w:val="false"/>
          <w:i/>
          <w:iCs/>
          <w:sz w:val="24"/>
          <w:szCs w:val="24"/>
        </w:rPr>
        <w:t>Wyniki głosowań stanowią załącznik nr 3 do niniejszego protokołu.</w:t>
      </w:r>
    </w:p>
    <w:p>
      <w:pPr>
        <w:pStyle w:val="Normal"/>
        <w:rPr>
          <w:b/>
          <w:b/>
          <w:sz w:val="24"/>
          <w:szCs w:val="24"/>
        </w:rPr>
      </w:pPr>
      <w:r>
        <w:rPr>
          <w:b/>
          <w:sz w:val="24"/>
          <w:szCs w:val="24"/>
        </w:rPr>
      </w:r>
    </w:p>
    <w:p>
      <w:pPr>
        <w:pStyle w:val="Normal"/>
        <w:rPr>
          <w:b/>
          <w:b/>
          <w:sz w:val="24"/>
          <w:szCs w:val="24"/>
        </w:rPr>
      </w:pPr>
      <w:r>
        <w:rPr>
          <w:b/>
          <w:sz w:val="24"/>
          <w:szCs w:val="24"/>
        </w:rPr>
        <w:t xml:space="preserve"> </w:t>
      </w:r>
      <w:r>
        <w:rPr>
          <w:b/>
          <w:sz w:val="24"/>
          <w:szCs w:val="24"/>
        </w:rPr>
        <w:t>Pkt 2. - Przyjęcie protokołu  z poprzedniej sesji.</w:t>
      </w:r>
    </w:p>
    <w:p>
      <w:pPr>
        <w:pStyle w:val="Normal"/>
        <w:rPr>
          <w:b/>
          <w:b/>
          <w:sz w:val="24"/>
          <w:szCs w:val="24"/>
        </w:rPr>
      </w:pPr>
      <w:r>
        <w:rPr>
          <w:b/>
          <w:sz w:val="24"/>
          <w:szCs w:val="24"/>
        </w:rPr>
      </w:r>
    </w:p>
    <w:p>
      <w:pPr>
        <w:pStyle w:val="Normal"/>
        <w:ind w:left="0" w:right="0" w:hanging="0"/>
        <w:jc w:val="both"/>
        <w:rPr/>
      </w:pPr>
      <w:r>
        <w:rPr>
          <w:sz w:val="24"/>
          <w:szCs w:val="24"/>
        </w:rPr>
        <w:t>Przewodniczący Rady poinformował, że protokół</w:t>
      </w:r>
      <w:r>
        <w:rPr>
          <w:b/>
          <w:sz w:val="24"/>
          <w:szCs w:val="24"/>
        </w:rPr>
        <w:t xml:space="preserve"> </w:t>
      </w:r>
      <w:r>
        <w:rPr>
          <w:sz w:val="24"/>
          <w:szCs w:val="24"/>
        </w:rPr>
        <w:t>z trzydziestej pierwszej sesji Rady Gminy były dostępny był do wglądu w Urzędzie Gminy i każdy miał możliwość zapoznania się z jego treścią, dlatego zaproponował przyjęcie go bez odczytywania.</w:t>
      </w:r>
    </w:p>
    <w:p>
      <w:pPr>
        <w:pStyle w:val="Tekstpodstawowywcity31"/>
        <w:spacing w:before="0" w:after="0"/>
        <w:ind w:left="0" w:right="0" w:hanging="0"/>
        <w:jc w:val="both"/>
        <w:rPr>
          <w:sz w:val="24"/>
          <w:szCs w:val="24"/>
        </w:rPr>
      </w:pPr>
      <w:r>
        <w:rPr>
          <w:sz w:val="24"/>
          <w:szCs w:val="24"/>
        </w:rPr>
        <w:t>Nie było wniosków w sprawie przyjęcia protokołu, w związku z tym poddano go pod głosowanie.</w:t>
      </w:r>
    </w:p>
    <w:p>
      <w:pPr>
        <w:pStyle w:val="Normal"/>
        <w:tabs>
          <w:tab w:val="left" w:pos="426" w:leader="none"/>
          <w:tab w:val="left" w:pos="502" w:leader="none"/>
        </w:tabs>
        <w:ind w:left="0" w:right="0" w:firstLine="709"/>
        <w:jc w:val="both"/>
        <w:rPr/>
      </w:pPr>
      <w:r>
        <w:rPr>
          <w:sz w:val="24"/>
          <w:szCs w:val="24"/>
        </w:rPr>
        <w:t>W wyniku głosowania, w którym wzięło udział 11 radnych, Rada Gminy jednogłośnie</w:t>
        <w:br/>
        <w:t>(11 głosów „ZA”, 0 głosów „PRZECIW”, nikt nie wstrzymał się od głosu) przyjęła protokół</w:t>
      </w:r>
      <w:r>
        <w:rPr>
          <w:b/>
          <w:sz w:val="24"/>
          <w:szCs w:val="24"/>
        </w:rPr>
        <w:br/>
      </w:r>
      <w:r>
        <w:rPr>
          <w:sz w:val="24"/>
          <w:szCs w:val="24"/>
        </w:rPr>
        <w:t xml:space="preserve">z  XXXI sesji Rady Gminy z dnia  11 stycznia 2018 r.  </w:t>
      </w:r>
    </w:p>
    <w:p>
      <w:pPr>
        <w:pStyle w:val="Normal"/>
        <w:spacing w:lineRule="auto" w:line="360"/>
        <w:rPr>
          <w:i/>
          <w:i/>
          <w:iCs/>
        </w:rPr>
      </w:pPr>
      <w:r>
        <w:rPr>
          <w:i/>
          <w:iCs/>
        </w:rPr>
      </w:r>
    </w:p>
    <w:p>
      <w:pPr>
        <w:pStyle w:val="Normal"/>
        <w:spacing w:lineRule="auto" w:line="360"/>
        <w:rPr>
          <w:b/>
          <w:b/>
          <w:sz w:val="24"/>
          <w:szCs w:val="24"/>
        </w:rPr>
      </w:pPr>
      <w:r>
        <w:rPr>
          <w:b/>
          <w:sz w:val="24"/>
          <w:szCs w:val="24"/>
        </w:rPr>
        <w:t>Pkt  3. -  Projekt uchwały w sprawie  wprowadzenia zmian w budżecie  gminy na 2018 r.</w:t>
      </w:r>
    </w:p>
    <w:p>
      <w:pPr>
        <w:pStyle w:val="Wcicietrecitekstu"/>
        <w:tabs>
          <w:tab w:val="left" w:pos="709" w:leader="none"/>
        </w:tabs>
        <w:ind w:left="0" w:right="0" w:hanging="0"/>
        <w:rPr/>
      </w:pPr>
      <w:r>
        <w:rPr>
          <w:b/>
          <w:sz w:val="24"/>
          <w:szCs w:val="24"/>
        </w:rPr>
        <w:tab/>
      </w:r>
      <w:r>
        <w:rPr>
          <w:sz w:val="24"/>
          <w:szCs w:val="24"/>
        </w:rPr>
        <w:t>Przewodniczący Rady Gminy poinformował, że projekt uchwały w sprawie zmian w budżecie na rok bieżący otrzymali wszyscy radni wraz z zawiadomieniem o zwołaniu sesji i został pozytywnie zaopiniowany przez Komisje Rady Gminy.</w:t>
      </w:r>
    </w:p>
    <w:p>
      <w:pPr>
        <w:pStyle w:val="Wcicietrecitekstu"/>
        <w:tabs>
          <w:tab w:val="left" w:pos="709" w:leader="none"/>
        </w:tabs>
        <w:ind w:left="0" w:right="0" w:hanging="0"/>
        <w:rPr>
          <w:sz w:val="24"/>
          <w:szCs w:val="24"/>
        </w:rPr>
      </w:pPr>
      <w:r>
        <w:rPr>
          <w:sz w:val="24"/>
          <w:szCs w:val="24"/>
        </w:rPr>
        <w:t>V</w:t>
        <w:noBreakHyphen/>
        <w:t>ce Przewodnicząca RG. p. Iwona Końka</w:t>
      </w:r>
      <w:r>
        <w:rPr>
          <w:b/>
          <w:sz w:val="24"/>
          <w:szCs w:val="24"/>
        </w:rPr>
        <w:t xml:space="preserve"> </w:t>
      </w:r>
      <w:r>
        <w:rPr>
          <w:sz w:val="24"/>
          <w:szCs w:val="24"/>
        </w:rPr>
        <w:t> przedstawiła projekt uchwały w tej sprawie</w:t>
      </w:r>
    </w:p>
    <w:p>
      <w:pPr>
        <w:pStyle w:val="Tekstpodstawowywcity31"/>
        <w:spacing w:before="0" w:after="0"/>
        <w:ind w:left="0" w:right="0" w:hanging="0"/>
        <w:jc w:val="both"/>
        <w:rPr>
          <w:sz w:val="24"/>
          <w:szCs w:val="24"/>
        </w:rPr>
      </w:pPr>
      <w:r>
        <w:rPr>
          <w:sz w:val="24"/>
          <w:szCs w:val="24"/>
        </w:rPr>
        <w:t>Nie było zgłoszeń ani wniosków do projektu uchwały, w związku z tym poddano go pod głosowanie.</w:t>
      </w:r>
    </w:p>
    <w:p>
      <w:pPr>
        <w:pStyle w:val="Normal"/>
        <w:tabs>
          <w:tab w:val="left" w:pos="426" w:leader="none"/>
          <w:tab w:val="left" w:pos="502" w:leader="none"/>
        </w:tabs>
        <w:ind w:left="0" w:right="0" w:firstLine="709"/>
        <w:jc w:val="both"/>
        <w:rPr/>
      </w:pPr>
      <w:r>
        <w:rPr>
          <w:sz w:val="24"/>
          <w:szCs w:val="24"/>
        </w:rPr>
        <w:t>W wyniku głosowania, w którym wzięło udział 11 radnych, Rada Gminy jednogłośnie</w:t>
        <w:br/>
        <w:t>(11 głosów „ZA”, 0 głosów „PRZECIW”, nikt nie wstrzymał się od głosu) podjęła  uchwałę</w:t>
        <w:br/>
        <w:t xml:space="preserve">w sprawie  wprowadzenia zmian w budżecie  gminy na 2018 r. </w:t>
      </w:r>
    </w:p>
    <w:p>
      <w:pPr>
        <w:pStyle w:val="Normal"/>
        <w:tabs>
          <w:tab w:val="left" w:pos="426" w:leader="none"/>
          <w:tab w:val="left" w:pos="502" w:leader="none"/>
        </w:tabs>
        <w:spacing w:lineRule="auto" w:line="240"/>
        <w:jc w:val="both"/>
        <w:rPr/>
      </w:pPr>
      <w:r>
        <w:rPr>
          <w:i/>
          <w:sz w:val="24"/>
          <w:szCs w:val="24"/>
        </w:rPr>
        <w:t>Uchwała Nr XXXII/246/2018 RG. w ww. sprawie stanowi załącznik nr 4 do niniejszego protokołu.</w:t>
      </w:r>
    </w:p>
    <w:p>
      <w:pPr>
        <w:pStyle w:val="Normal"/>
        <w:tabs>
          <w:tab w:val="left" w:pos="426" w:leader="none"/>
          <w:tab w:val="left" w:pos="502" w:leader="none"/>
        </w:tabs>
        <w:spacing w:lineRule="auto" w:line="360"/>
        <w:jc w:val="both"/>
        <w:rPr>
          <w:i/>
          <w:i/>
          <w:sz w:val="24"/>
          <w:szCs w:val="24"/>
        </w:rPr>
      </w:pPr>
      <w:r>
        <w:rPr>
          <w:i/>
          <w:sz w:val="24"/>
          <w:szCs w:val="24"/>
        </w:rPr>
      </w:r>
    </w:p>
    <w:p>
      <w:pPr>
        <w:pStyle w:val="Normal"/>
        <w:ind w:left="900" w:right="0" w:hanging="900"/>
        <w:rPr>
          <w:b/>
          <w:b/>
          <w:sz w:val="24"/>
          <w:szCs w:val="24"/>
        </w:rPr>
      </w:pPr>
      <w:r>
        <w:rPr>
          <w:b/>
          <w:sz w:val="24"/>
          <w:szCs w:val="24"/>
        </w:rPr>
        <w:t>Pkt  4. - Projekt uchwały w sprawie  uchwalenia zmian w Wieloletniej Prognozie Finansowej  Gminy Lidzbark Warmiński na lata 2018-2035.</w:t>
      </w:r>
    </w:p>
    <w:p>
      <w:pPr>
        <w:pStyle w:val="Wcicietrecitekstu"/>
        <w:tabs>
          <w:tab w:val="left" w:pos="709" w:leader="none"/>
        </w:tabs>
        <w:ind w:left="900" w:right="0" w:hanging="900"/>
        <w:jc w:val="left"/>
        <w:rPr>
          <w:b/>
          <w:b/>
          <w:sz w:val="24"/>
          <w:szCs w:val="24"/>
        </w:rPr>
      </w:pPr>
      <w:r>
        <w:rPr>
          <w:b/>
          <w:sz w:val="24"/>
          <w:szCs w:val="24"/>
        </w:rPr>
      </w:r>
    </w:p>
    <w:p>
      <w:pPr>
        <w:pStyle w:val="Wcicietrecitekstu"/>
        <w:tabs>
          <w:tab w:val="left" w:pos="709" w:leader="none"/>
        </w:tabs>
        <w:ind w:left="0" w:right="0" w:hanging="0"/>
        <w:jc w:val="both"/>
        <w:rPr/>
      </w:pPr>
      <w:r>
        <w:rPr>
          <w:sz w:val="24"/>
          <w:szCs w:val="24"/>
        </w:rPr>
        <w:tab/>
        <w:t>Przewodniczący Rady Gm. poinformował, że projekt zmian w Wieloletniej Prognozie Finansowej na lata 2018-2035 otrzymali wszyscy radni wraz z zawiadomieniem o zwołaniu sesji i również został pozytywnie zaopiniowany przez komisje Rady Gminy.</w:t>
      </w:r>
    </w:p>
    <w:p>
      <w:pPr>
        <w:pStyle w:val="Wcicietrecitekstu"/>
        <w:tabs>
          <w:tab w:val="left" w:pos="709" w:leader="none"/>
        </w:tabs>
        <w:ind w:left="0" w:right="0" w:hanging="0"/>
        <w:jc w:val="both"/>
        <w:rPr>
          <w:sz w:val="24"/>
          <w:szCs w:val="24"/>
        </w:rPr>
      </w:pPr>
      <w:r>
        <w:rPr>
          <w:sz w:val="24"/>
          <w:szCs w:val="24"/>
        </w:rPr>
        <w:t>V</w:t>
        <w:noBreakHyphen/>
        <w:t>ce Przewodnicząca RG. p. Iwona Końka</w:t>
      </w:r>
      <w:r>
        <w:rPr>
          <w:b/>
          <w:sz w:val="24"/>
          <w:szCs w:val="24"/>
        </w:rPr>
        <w:t xml:space="preserve"> </w:t>
      </w:r>
      <w:r>
        <w:rPr>
          <w:sz w:val="24"/>
          <w:szCs w:val="24"/>
        </w:rPr>
        <w:t> przedstawiła projekt uchwały w tej sprawie.</w:t>
      </w:r>
    </w:p>
    <w:p>
      <w:pPr>
        <w:pStyle w:val="Tekstpodstawowywcity31"/>
        <w:spacing w:before="0" w:after="0"/>
        <w:ind w:left="0" w:right="0" w:hanging="0"/>
        <w:jc w:val="both"/>
        <w:rPr>
          <w:sz w:val="24"/>
          <w:szCs w:val="24"/>
        </w:rPr>
      </w:pPr>
      <w:r>
        <w:rPr>
          <w:sz w:val="24"/>
          <w:szCs w:val="24"/>
        </w:rPr>
        <w:t>Nie było zgłoszeń do projektu uchwały, w związku z tym poddano go pod głosowanie.</w:t>
      </w:r>
    </w:p>
    <w:p>
      <w:pPr>
        <w:pStyle w:val="Normal"/>
        <w:tabs>
          <w:tab w:val="left" w:pos="426" w:leader="none"/>
          <w:tab w:val="left" w:pos="502" w:leader="none"/>
        </w:tabs>
        <w:ind w:left="0" w:right="0" w:firstLine="709"/>
        <w:jc w:val="both"/>
        <w:rPr/>
      </w:pPr>
      <w:r>
        <w:rPr>
          <w:sz w:val="24"/>
          <w:szCs w:val="24"/>
        </w:rPr>
        <w:t>W wyniku głosowania, w którym wzięło udział 11 radnych, Rada Gminy jednogłośnie</w:t>
        <w:br/>
        <w:t>(11 głosów „ZA”, 0 głosów „PRZECIW”, nikt nie wstrzymał się od głosu) podjęła  uchwałę</w:t>
        <w:br/>
        <w:t>w sprawie uchwalenia zmian w Wieloletniej Prognozie Finansowej  Gminy Lidzbark Warmiński na lata 2018-2035.</w:t>
      </w:r>
    </w:p>
    <w:p>
      <w:pPr>
        <w:pStyle w:val="Wcicietrecitekstu"/>
        <w:tabs>
          <w:tab w:val="left" w:pos="0" w:leader="none"/>
        </w:tabs>
        <w:spacing w:lineRule="auto" w:line="240"/>
        <w:ind w:left="0" w:right="0" w:hanging="0"/>
        <w:jc w:val="both"/>
        <w:rPr>
          <w:sz w:val="24"/>
          <w:szCs w:val="24"/>
        </w:rPr>
      </w:pPr>
      <w:r>
        <w:rPr>
          <w:i/>
          <w:sz w:val="24"/>
          <w:szCs w:val="24"/>
        </w:rPr>
        <w:t>Uchwała Nr XXXII/247/2018 RG. w ww. sprawie stanowi załącznik nr 5 do niniejszego protokołu.</w:t>
      </w:r>
    </w:p>
    <w:p>
      <w:pPr>
        <w:pStyle w:val="Normal"/>
        <w:jc w:val="both"/>
        <w:rPr>
          <w:b/>
          <w:b/>
          <w:sz w:val="24"/>
          <w:szCs w:val="24"/>
        </w:rPr>
      </w:pPr>
      <w:r>
        <w:rPr>
          <w:b/>
          <w:sz w:val="24"/>
          <w:szCs w:val="24"/>
        </w:rPr>
      </w:r>
    </w:p>
    <w:p>
      <w:pPr>
        <w:pStyle w:val="Normal"/>
        <w:ind w:left="851" w:right="0" w:hanging="851"/>
        <w:jc w:val="both"/>
        <w:rPr/>
      </w:pPr>
      <w:r>
        <w:rPr>
          <w:b/>
          <w:sz w:val="24"/>
          <w:szCs w:val="24"/>
        </w:rPr>
        <w:t>Pkt 5. – Projekt uchwały w sprawie przyjęcia programu opieki nad zwierzętami bezdomnymi oraz zapobiegania bezdomności zwierząt na terenie Gminy Lidzbark Warmiński na rok 2018</w:t>
      </w:r>
      <w:r>
        <w:rPr>
          <w:b/>
          <w:i w:val="false"/>
          <w:iCs w:val="false"/>
          <w:sz w:val="24"/>
          <w:szCs w:val="24"/>
        </w:rPr>
        <w:t>.</w:t>
      </w:r>
    </w:p>
    <w:p>
      <w:pPr>
        <w:pStyle w:val="Normal"/>
        <w:ind w:left="851" w:right="0" w:hanging="851"/>
        <w:jc w:val="both"/>
        <w:rPr>
          <w:b/>
          <w:b/>
          <w:sz w:val="24"/>
          <w:szCs w:val="24"/>
        </w:rPr>
      </w:pPr>
      <w:r>
        <w:rPr>
          <w:b/>
          <w:sz w:val="24"/>
          <w:szCs w:val="24"/>
        </w:rPr>
      </w:r>
    </w:p>
    <w:p>
      <w:pPr>
        <w:pStyle w:val="Normal"/>
        <w:ind w:left="0" w:right="0" w:firstLine="708"/>
        <w:jc w:val="both"/>
        <w:rPr/>
      </w:pPr>
      <w:r>
        <w:rPr>
          <w:sz w:val="24"/>
          <w:szCs w:val="24"/>
        </w:rPr>
        <w:t xml:space="preserve">Przewodniczący Rady Gminy poinformował, </w:t>
      </w:r>
      <w:r>
        <w:rPr>
          <w:i w:val="false"/>
          <w:iCs w:val="false"/>
          <w:sz w:val="24"/>
          <w:szCs w:val="24"/>
        </w:rPr>
        <w:t>że Rada Gminy do 31 marca każdego roku określa w drodze uchwały program opieki nad zwierzętami bezdomnymi oraz zapobiegania bezdomności zwierząt. Przygotowany przez Wójta projekt programu został pozytywnie zaopiniowany przez: Powiatowego Lekarza Weterynarii oraz dzierżawców lub zarządców obwodów łowieckich, działających na terenie Gminy.</w:t>
      </w:r>
    </w:p>
    <w:p>
      <w:pPr>
        <w:pStyle w:val="Normal"/>
        <w:ind w:left="0" w:right="0" w:hanging="0"/>
        <w:jc w:val="both"/>
        <w:rPr>
          <w:bCs/>
          <w:sz w:val="24"/>
          <w:szCs w:val="24"/>
        </w:rPr>
      </w:pPr>
      <w:r>
        <w:rPr>
          <w:bCs/>
          <w:i w:val="false"/>
          <w:iCs w:val="false"/>
          <w:sz w:val="24"/>
          <w:szCs w:val="24"/>
        </w:rPr>
        <w:t>Projekt uchwały omawiany był na posiedzeniach Komisji Rady Gminy i został zaopiniowany pozytywnie.</w:t>
      </w:r>
    </w:p>
    <w:p>
      <w:pPr>
        <w:pStyle w:val="Wcicietrecitekstu"/>
        <w:tabs>
          <w:tab w:val="left" w:pos="709" w:leader="none"/>
        </w:tabs>
        <w:ind w:left="0" w:right="0" w:hanging="0"/>
        <w:jc w:val="both"/>
        <w:rPr/>
      </w:pPr>
      <w:r>
        <w:rPr>
          <w:i w:val="false"/>
          <w:iCs w:val="false"/>
          <w:sz w:val="24"/>
          <w:szCs w:val="24"/>
        </w:rPr>
        <w:t>V</w:t>
        <w:noBreakHyphen/>
        <w:t>ce Przewodniczący RG. p. Leszek Maciejewski</w:t>
      </w:r>
      <w:r>
        <w:rPr>
          <w:b/>
          <w:i w:val="false"/>
          <w:iCs w:val="false"/>
          <w:sz w:val="24"/>
          <w:szCs w:val="24"/>
        </w:rPr>
        <w:t xml:space="preserve"> </w:t>
      </w:r>
      <w:r>
        <w:rPr>
          <w:i w:val="false"/>
          <w:iCs w:val="false"/>
          <w:sz w:val="24"/>
          <w:szCs w:val="24"/>
        </w:rPr>
        <w:t>przedstawił projekt uchwały w tej sprawie.</w:t>
      </w:r>
    </w:p>
    <w:p>
      <w:pPr>
        <w:pStyle w:val="Tekstpodstawowywcity31"/>
        <w:spacing w:before="0" w:after="0"/>
        <w:ind w:left="0" w:right="0" w:hanging="0"/>
        <w:jc w:val="both"/>
        <w:rPr>
          <w:sz w:val="24"/>
          <w:szCs w:val="24"/>
        </w:rPr>
      </w:pPr>
      <w:r>
        <w:rPr>
          <w:sz w:val="24"/>
          <w:szCs w:val="24"/>
        </w:rPr>
        <w:t>Nie było zgłoszeń do projektu uchwały, w związku z tym poddano go pod głosowanie.</w:t>
      </w:r>
    </w:p>
    <w:p>
      <w:pPr>
        <w:pStyle w:val="Normal"/>
        <w:tabs>
          <w:tab w:val="left" w:pos="426" w:leader="none"/>
          <w:tab w:val="left" w:pos="502" w:leader="none"/>
        </w:tabs>
        <w:ind w:left="0" w:right="0" w:firstLine="709"/>
        <w:jc w:val="both"/>
        <w:rPr/>
      </w:pPr>
      <w:r>
        <w:rPr>
          <w:sz w:val="24"/>
          <w:szCs w:val="24"/>
        </w:rPr>
        <w:t>W wyniku głosowania, w którym wzięło udział 11 radnych, Rada Gminy jednogłośnie</w:t>
        <w:br/>
        <w:t>(11 głosów „ZA”, 0 głosów „PRZECIW”, nikt nie wstrzymał się od głosu) podjęła uchwałę</w:t>
        <w:br/>
        <w:t>w sprawie przyjęcia programu opieki nad zwierzętami bezdomnymi oraz zapobiegania bezdomności zwierząt na terenie Gminy Lidzbark Warmiński na rok 2018.</w:t>
      </w:r>
    </w:p>
    <w:p>
      <w:pPr>
        <w:pStyle w:val="Wcicietrecitekstu"/>
        <w:tabs>
          <w:tab w:val="left" w:pos="0" w:leader="none"/>
        </w:tabs>
        <w:spacing w:lineRule="auto" w:line="240"/>
        <w:ind w:left="0" w:right="0" w:hanging="0"/>
        <w:jc w:val="both"/>
        <w:rPr>
          <w:i/>
          <w:i/>
          <w:iCs/>
          <w:sz w:val="24"/>
          <w:szCs w:val="24"/>
        </w:rPr>
      </w:pPr>
      <w:r>
        <w:rPr>
          <w:i/>
          <w:iCs/>
          <w:sz w:val="24"/>
          <w:szCs w:val="24"/>
        </w:rPr>
        <w:t>Uchwała Nr XXXII/248/2018 RG. w ww. sprawie stanowi załącznik nr 6 do niniejszego protokołu.</w:t>
      </w:r>
    </w:p>
    <w:p>
      <w:pPr>
        <w:pStyle w:val="Normal"/>
        <w:ind w:left="850" w:right="0" w:hanging="850"/>
        <w:rPr>
          <w:b/>
          <w:b/>
          <w:sz w:val="24"/>
          <w:szCs w:val="24"/>
        </w:rPr>
      </w:pPr>
      <w:r>
        <w:rPr>
          <w:b/>
          <w:sz w:val="24"/>
          <w:szCs w:val="24"/>
        </w:rPr>
      </w:r>
    </w:p>
    <w:p>
      <w:pPr>
        <w:pStyle w:val="Normal"/>
        <w:ind w:left="850" w:right="0" w:hanging="850"/>
        <w:jc w:val="both"/>
        <w:rPr>
          <w:b/>
          <w:b/>
          <w:sz w:val="24"/>
          <w:szCs w:val="24"/>
        </w:rPr>
      </w:pPr>
      <w:r>
        <w:rPr>
          <w:b/>
          <w:sz w:val="24"/>
          <w:szCs w:val="24"/>
        </w:rPr>
        <w:t>Pkt 6. - Projekt uchwały w sprawie nieodpłatnego przejęcia nieruchomości.</w:t>
      </w:r>
    </w:p>
    <w:p>
      <w:pPr>
        <w:pStyle w:val="Normal"/>
        <w:ind w:left="0" w:right="0" w:firstLine="708"/>
        <w:jc w:val="both"/>
        <w:rPr>
          <w:sz w:val="24"/>
          <w:szCs w:val="24"/>
        </w:rPr>
      </w:pPr>
      <w:r>
        <w:rPr>
          <w:sz w:val="24"/>
          <w:szCs w:val="24"/>
        </w:rPr>
      </w:r>
    </w:p>
    <w:p>
      <w:pPr>
        <w:pStyle w:val="Normal"/>
        <w:ind w:left="0" w:right="0" w:firstLine="708"/>
        <w:jc w:val="both"/>
        <w:rPr/>
      </w:pPr>
      <w:r>
        <w:rPr>
          <w:sz w:val="24"/>
          <w:szCs w:val="24"/>
        </w:rPr>
        <w:t xml:space="preserve">Przewodniczący Rady Gminy poinformował, </w:t>
      </w:r>
      <w:r>
        <w:rPr>
          <w:i w:val="false"/>
          <w:iCs w:val="false"/>
          <w:sz w:val="24"/>
          <w:szCs w:val="24"/>
        </w:rPr>
        <w:t>że przejmowana nieruchomość (działka gruntu 128/3 w Nowosadach) stanowi drogę powiatową Pilnik-Nowosady, znajduje się w centrum wsi Nowosady. Po przejęciu zostanie uruchomiona procedura zaliczenia jej do kategorii dróg gminnych.</w:t>
      </w:r>
    </w:p>
    <w:p>
      <w:pPr>
        <w:pStyle w:val="Normal"/>
        <w:ind w:left="0" w:right="0" w:hanging="0"/>
        <w:jc w:val="both"/>
        <w:rPr>
          <w:bCs/>
          <w:sz w:val="24"/>
          <w:szCs w:val="24"/>
        </w:rPr>
      </w:pPr>
      <w:r>
        <w:rPr>
          <w:bCs/>
          <w:i w:val="false"/>
          <w:iCs w:val="false"/>
          <w:sz w:val="24"/>
          <w:szCs w:val="24"/>
        </w:rPr>
        <w:t>Projekt uchwały omawiany był na posiedzeniach Komisji Rady Gminy i został zaopiniowany pozytywnie.</w:t>
      </w:r>
    </w:p>
    <w:p>
      <w:pPr>
        <w:pStyle w:val="Wcicietrecitekstu"/>
        <w:tabs>
          <w:tab w:val="left" w:pos="709" w:leader="none"/>
        </w:tabs>
        <w:ind w:left="0" w:right="0" w:hanging="0"/>
        <w:jc w:val="both"/>
        <w:rPr/>
      </w:pPr>
      <w:r>
        <w:rPr>
          <w:i w:val="false"/>
          <w:iCs w:val="false"/>
          <w:sz w:val="24"/>
          <w:szCs w:val="24"/>
        </w:rPr>
        <w:t>V</w:t>
        <w:noBreakHyphen/>
        <w:t>ce Przewodniczący RG. p. Leszek Maciejewski</w:t>
      </w:r>
      <w:r>
        <w:rPr>
          <w:b/>
          <w:i w:val="false"/>
          <w:iCs w:val="false"/>
          <w:sz w:val="24"/>
          <w:szCs w:val="24"/>
        </w:rPr>
        <w:t xml:space="preserve"> </w:t>
      </w:r>
      <w:r>
        <w:rPr>
          <w:i w:val="false"/>
          <w:iCs w:val="false"/>
          <w:sz w:val="24"/>
          <w:szCs w:val="24"/>
        </w:rPr>
        <w:t>przedstawił projekt uchwały w tej sprawie.</w:t>
      </w:r>
    </w:p>
    <w:p>
      <w:pPr>
        <w:pStyle w:val="Tekstpodstawowywcity31"/>
        <w:spacing w:before="0" w:after="0"/>
        <w:ind w:left="0" w:right="0" w:hanging="0"/>
        <w:jc w:val="both"/>
        <w:rPr>
          <w:sz w:val="24"/>
          <w:szCs w:val="24"/>
        </w:rPr>
      </w:pPr>
      <w:r>
        <w:rPr>
          <w:sz w:val="24"/>
          <w:szCs w:val="24"/>
        </w:rPr>
        <w:t>Nie było zgłoszeń do projektu uchwały, w związku z tym poddano go pod głosowanie.</w:t>
      </w:r>
    </w:p>
    <w:p>
      <w:pPr>
        <w:pStyle w:val="Normal"/>
        <w:tabs>
          <w:tab w:val="left" w:pos="426" w:leader="none"/>
          <w:tab w:val="left" w:pos="502" w:leader="none"/>
        </w:tabs>
        <w:ind w:left="0" w:right="0" w:firstLine="709"/>
        <w:jc w:val="both"/>
        <w:rPr/>
      </w:pPr>
      <w:r>
        <w:rPr>
          <w:sz w:val="24"/>
          <w:szCs w:val="24"/>
        </w:rPr>
        <w:t>W wyniku głosowania, w którym wzięło udział 11 radnych, Rada Gminy jednogłośnie</w:t>
        <w:br/>
        <w:t>(11 głosów „ZA”, 0 głosów „PRZECIW”, nikt nie wstrzymał się od głosu) podjęła uchwałę</w:t>
        <w:br/>
        <w:t>w sprawie nieodpłatnego przejęcia nieruchomości.</w:t>
      </w:r>
    </w:p>
    <w:p>
      <w:pPr>
        <w:pStyle w:val="Wcicietrecitekstu"/>
        <w:tabs>
          <w:tab w:val="left" w:pos="0" w:leader="none"/>
        </w:tabs>
        <w:spacing w:lineRule="auto" w:line="240"/>
        <w:ind w:left="0" w:right="0" w:hanging="0"/>
        <w:jc w:val="both"/>
        <w:rPr>
          <w:i/>
          <w:i/>
          <w:iCs/>
          <w:sz w:val="24"/>
          <w:szCs w:val="24"/>
        </w:rPr>
      </w:pPr>
      <w:r>
        <w:rPr>
          <w:i/>
          <w:iCs/>
          <w:sz w:val="24"/>
          <w:szCs w:val="24"/>
        </w:rPr>
        <w:t>Uchwała Nr XXXII/249/2018 RG. w ww. sprawie stanowi załącznik nr 7 do niniejszego protokołu.</w:t>
      </w:r>
    </w:p>
    <w:p>
      <w:pPr>
        <w:pStyle w:val="Normal"/>
        <w:ind w:left="850" w:right="0" w:hanging="850"/>
        <w:jc w:val="both"/>
        <w:rPr>
          <w:b/>
          <w:b/>
          <w:sz w:val="24"/>
          <w:szCs w:val="24"/>
        </w:rPr>
      </w:pPr>
      <w:r>
        <w:rPr>
          <w:b/>
          <w:sz w:val="24"/>
          <w:szCs w:val="24"/>
        </w:rPr>
      </w:r>
    </w:p>
    <w:p>
      <w:pPr>
        <w:pStyle w:val="Normal"/>
        <w:ind w:left="850" w:right="0" w:hanging="850"/>
        <w:jc w:val="both"/>
        <w:rPr>
          <w:b/>
          <w:b/>
          <w:sz w:val="24"/>
          <w:szCs w:val="24"/>
        </w:rPr>
      </w:pPr>
      <w:r>
        <w:rPr>
          <w:b/>
          <w:sz w:val="24"/>
          <w:szCs w:val="24"/>
        </w:rPr>
        <w:t>Pkt 7. - Projekt uchwały w sprawie zrzeczenia się Gminy Lidzbark Warmiński z użytkowania wieczystego działki gruntu nr 324/4 o pow. 0,6237 ha w Łaniewie stanowiącej własność Skarbu Państwa.</w:t>
      </w:r>
    </w:p>
    <w:p>
      <w:pPr>
        <w:pStyle w:val="Domynie"/>
        <w:spacing w:lineRule="auto" w:line="240" w:before="0" w:after="0"/>
        <w:rPr>
          <w:sz w:val="24"/>
          <w:szCs w:val="24"/>
        </w:rPr>
      </w:pPr>
      <w:r>
        <w:rPr>
          <w:rFonts w:eastAsia="Calibri"/>
        </w:rPr>
        <w:t xml:space="preserve"> </w:t>
      </w:r>
    </w:p>
    <w:p>
      <w:pPr>
        <w:pStyle w:val="Wcicietrecitekstu"/>
        <w:tabs>
          <w:tab w:val="left" w:pos="709" w:leader="none"/>
        </w:tabs>
        <w:ind w:left="0" w:right="0" w:hanging="0"/>
        <w:rPr/>
      </w:pPr>
      <w:r>
        <w:rPr>
          <w:sz w:val="24"/>
          <w:szCs w:val="24"/>
        </w:rPr>
        <w:t xml:space="preserve">    </w:t>
      </w:r>
      <w:r>
        <w:rPr>
          <w:sz w:val="24"/>
          <w:szCs w:val="24"/>
        </w:rPr>
        <w:tab/>
        <w:t>Przewodniczący Rady Gminy poinformował, że Gmina Lidzbark Warmiński przejęła nieruchomość będącą przedmiotem zrzeczenia się w dniu 21 maja 2004 r., zgodnie</w:t>
        <w:br/>
        <w:t>z obowiązującymi wówczas przepisami, w skutek zrzeczenia się tego prawa przez poprzedniego użytkownika wieczystego. Działka nie jest zagospodarowana, ani wykorzystywana przez Gminę</w:t>
        <w:br/>
        <w:t>a ponoszone są opłaty na rzecz Starostwa Powiatowego za użytkowanie wieczyste.</w:t>
      </w:r>
    </w:p>
    <w:p>
      <w:pPr>
        <w:pStyle w:val="Normal"/>
        <w:tabs>
          <w:tab w:val="left" w:pos="709" w:leader="none"/>
        </w:tabs>
        <w:ind w:left="0" w:right="0" w:hanging="0"/>
        <w:jc w:val="both"/>
        <w:rPr>
          <w:bCs/>
          <w:sz w:val="24"/>
          <w:szCs w:val="24"/>
        </w:rPr>
      </w:pPr>
      <w:r>
        <w:rPr>
          <w:bCs/>
          <w:sz w:val="24"/>
          <w:szCs w:val="24"/>
        </w:rPr>
        <w:t>Projekt uchwały omawiany był na posiedzeniach Komisji Rady Gminy i został zaopiniowany pozytywnie.</w:t>
      </w:r>
    </w:p>
    <w:p>
      <w:pPr>
        <w:pStyle w:val="Normal"/>
        <w:tabs>
          <w:tab w:val="left" w:pos="360" w:leader="none"/>
        </w:tabs>
        <w:ind w:left="0" w:right="0" w:hanging="0"/>
        <w:jc w:val="both"/>
        <w:rPr>
          <w:i w:val="false"/>
          <w:i w:val="false"/>
          <w:iCs w:val="false"/>
          <w:sz w:val="24"/>
          <w:szCs w:val="24"/>
        </w:rPr>
      </w:pPr>
      <w:r>
        <w:rPr>
          <w:sz w:val="24"/>
          <w:szCs w:val="24"/>
        </w:rPr>
        <w:t>V</w:t>
        <w:noBreakHyphen/>
        <w:t>ce Przewodniczący RG. p. Leszek Maciejewski odczytał projekt uchwały w tej sprawie.</w:t>
      </w:r>
    </w:p>
    <w:p>
      <w:pPr>
        <w:pStyle w:val="Tekstpodstawowywcity31"/>
        <w:spacing w:before="0" w:after="0"/>
        <w:ind w:left="0" w:right="0" w:hanging="0"/>
        <w:jc w:val="both"/>
        <w:rPr>
          <w:sz w:val="24"/>
          <w:szCs w:val="24"/>
        </w:rPr>
      </w:pPr>
      <w:r>
        <w:rPr>
          <w:i w:val="false"/>
          <w:iCs w:val="false"/>
          <w:sz w:val="24"/>
          <w:szCs w:val="24"/>
        </w:rPr>
        <w:t>Nie było zgłoszeń do projektu uchwały, w związku z tym poddano go pod głosowanie.</w:t>
      </w:r>
    </w:p>
    <w:p>
      <w:pPr>
        <w:pStyle w:val="Normal"/>
        <w:tabs>
          <w:tab w:val="left" w:pos="426" w:leader="none"/>
          <w:tab w:val="left" w:pos="502" w:leader="none"/>
        </w:tabs>
        <w:ind w:left="0" w:right="0" w:firstLine="709"/>
        <w:jc w:val="both"/>
        <w:rPr/>
      </w:pPr>
      <w:r>
        <w:rPr>
          <w:sz w:val="24"/>
          <w:szCs w:val="24"/>
        </w:rPr>
        <w:t>W wyniku głosowania, w którym wzięło udział 11 radnych, Rada Gminy jednogłośnie</w:t>
        <w:br/>
        <w:t>(11 głosów „ZA”, 0 głosów „PRZECIW”, nikt nie wstrzymał się od głosu) podjęła uchwałę</w:t>
        <w:br/>
        <w:t>w sprawie zrzeczenia użytkowania wieczystego.</w:t>
      </w:r>
    </w:p>
    <w:p>
      <w:pPr>
        <w:pStyle w:val="Wcicietrecitekstu"/>
        <w:tabs>
          <w:tab w:val="left" w:pos="709" w:leader="none"/>
        </w:tabs>
        <w:spacing w:lineRule="auto" w:line="240"/>
        <w:ind w:left="0" w:right="0" w:hanging="0"/>
        <w:rPr>
          <w:i/>
          <w:i/>
          <w:sz w:val="24"/>
          <w:szCs w:val="24"/>
        </w:rPr>
      </w:pPr>
      <w:r>
        <w:rPr>
          <w:i/>
          <w:sz w:val="24"/>
          <w:szCs w:val="24"/>
        </w:rPr>
        <w:t>Uchwała Nr XXXII/250/2018 RG. w ww. sprawie stanowi załącznik nr 8 do niniejszego protokołu.</w:t>
      </w:r>
    </w:p>
    <w:p>
      <w:pPr>
        <w:pStyle w:val="Wcicietrecitekstu"/>
        <w:tabs>
          <w:tab w:val="left" w:pos="709" w:leader="none"/>
        </w:tabs>
        <w:ind w:left="0" w:right="0" w:hanging="0"/>
        <w:rPr>
          <w:i/>
          <w:i/>
          <w:sz w:val="24"/>
          <w:szCs w:val="24"/>
        </w:rPr>
      </w:pPr>
      <w:r>
        <w:rPr>
          <w:i/>
          <w:sz w:val="24"/>
          <w:szCs w:val="24"/>
        </w:rPr>
      </w:r>
    </w:p>
    <w:p>
      <w:pPr>
        <w:pStyle w:val="Normal"/>
        <w:ind w:left="900" w:right="0" w:hanging="900"/>
        <w:jc w:val="both"/>
        <w:rPr>
          <w:b/>
          <w:b/>
          <w:sz w:val="24"/>
          <w:szCs w:val="24"/>
        </w:rPr>
      </w:pPr>
      <w:r>
        <w:rPr>
          <w:b/>
          <w:sz w:val="24"/>
          <w:szCs w:val="24"/>
        </w:rPr>
        <w:t>Pkt 8. – Projekt uchwały zmieniającej uchwałę Rady Gminy Lidzbark Warmiński w sprawie ustalenia regulaminu określającego wysokość stawek i szczegółowe warunki przyznawania nauczycielom dodatków.</w:t>
      </w:r>
    </w:p>
    <w:p>
      <w:pPr>
        <w:pStyle w:val="Normal"/>
        <w:ind w:left="900" w:right="0" w:hanging="900"/>
        <w:jc w:val="both"/>
        <w:rPr>
          <w:b/>
          <w:b/>
          <w:sz w:val="24"/>
          <w:szCs w:val="24"/>
        </w:rPr>
      </w:pPr>
      <w:r>
        <w:rPr>
          <w:b/>
          <w:sz w:val="24"/>
          <w:szCs w:val="24"/>
        </w:rPr>
      </w:r>
    </w:p>
    <w:p>
      <w:pPr>
        <w:pStyle w:val="Normal"/>
        <w:ind w:left="0" w:right="0" w:firstLine="709"/>
        <w:jc w:val="both"/>
        <w:rPr>
          <w:bCs/>
          <w:sz w:val="24"/>
          <w:szCs w:val="24"/>
        </w:rPr>
      </w:pPr>
      <w:r>
        <w:rPr>
          <w:bCs/>
          <w:sz w:val="24"/>
          <w:szCs w:val="24"/>
        </w:rPr>
        <w:t>Przewodniczący Rady Gminy powiadomił, że zmiana uchwały jest niezbędna, w celu dostosowania przepisów prawa miejscowego do nowelizacji ustawy Karta Nauczyciela</w:t>
        <w:br/>
        <w:t>i uchyleniem art. 54 ust. 3 – tj. likwidacji dodatku mieszkaniowego.</w:t>
      </w:r>
    </w:p>
    <w:p>
      <w:pPr>
        <w:pStyle w:val="Normal"/>
        <w:ind w:left="0" w:right="0" w:hanging="0"/>
        <w:jc w:val="both"/>
        <w:rPr>
          <w:bCs/>
          <w:sz w:val="24"/>
          <w:szCs w:val="24"/>
        </w:rPr>
      </w:pPr>
      <w:r>
        <w:rPr>
          <w:bCs/>
          <w:sz w:val="24"/>
          <w:szCs w:val="24"/>
        </w:rPr>
        <w:t>Projekt uchwały omawiany był na posiedzeniach Komisji Rady Gminy i został zaopiniowany pozytywnie.</w:t>
      </w:r>
    </w:p>
    <w:p>
      <w:pPr>
        <w:pStyle w:val="Normal"/>
        <w:ind w:left="0" w:right="0" w:hanging="0"/>
        <w:jc w:val="both"/>
        <w:rPr>
          <w:bCs/>
          <w:sz w:val="24"/>
          <w:szCs w:val="24"/>
        </w:rPr>
      </w:pPr>
      <w:r>
        <w:rPr>
          <w:bCs/>
          <w:sz w:val="24"/>
          <w:szCs w:val="24"/>
        </w:rPr>
        <w:t>V-ce Przewodnicząca RG. p. Iwona Końka przedstawiła projekt  uchwały w tej sprawie.</w:t>
      </w:r>
    </w:p>
    <w:p>
      <w:pPr>
        <w:pStyle w:val="Normal"/>
        <w:ind w:left="0" w:right="0" w:hanging="0"/>
        <w:jc w:val="both"/>
        <w:rPr>
          <w:bCs/>
          <w:sz w:val="24"/>
          <w:szCs w:val="24"/>
        </w:rPr>
      </w:pPr>
      <w:r>
        <w:rPr>
          <w:bCs/>
          <w:sz w:val="24"/>
          <w:szCs w:val="24"/>
        </w:rPr>
        <w:t>Nie było zgłoszeń do projektu uchwały, w związku z tym poddano go pod głosowanie.</w:t>
      </w:r>
    </w:p>
    <w:p>
      <w:pPr>
        <w:pStyle w:val="Normal"/>
        <w:ind w:left="0" w:right="0" w:firstLine="709"/>
        <w:jc w:val="both"/>
        <w:rPr/>
      </w:pPr>
      <w:r>
        <w:rPr>
          <w:bCs/>
          <w:sz w:val="24"/>
          <w:szCs w:val="24"/>
        </w:rPr>
        <w:t>W wyniku głosowania, w którym wzięło udział 11 radnych, Rada Gminy jednogłośnie (11 głosów „ZA”, 0 głosów „PRZECIW”, nikt nie wstrzymał się od głosu) podjęła uchwałę zmieniającą uchwałę Rady Gminy Lidzbark Warmiński w sprawie ustalenia regulaminu określającego wysokość stawek i szczegółowe warunki przyznawania nauczycielom dodatków: za wysługę lat, motywacyjnego, funkcyjnego, za warunki pracy oraz wysokość i warunki wypłacania innych składników wynagrodzenia wynikających ze stosunku pracy pracy, szczegółowy sposób obliczania wynagrodzenia za godziny ponadwymiarowe i godziny doraźnych zastępstw, a także wysokość nauczycielskiego dodatku mieszkaniowego oraz szczegółowe zasady jego przyznawania</w:t>
        <w:br/>
        <w:t>i wypłacania.</w:t>
      </w:r>
    </w:p>
    <w:p>
      <w:pPr>
        <w:pStyle w:val="Wcicietrecitekstu"/>
        <w:tabs>
          <w:tab w:val="left" w:pos="709" w:leader="none"/>
        </w:tabs>
        <w:spacing w:lineRule="auto" w:line="240"/>
        <w:ind w:left="0" w:right="0" w:hanging="0"/>
        <w:rPr>
          <w:b w:val="false"/>
          <w:b w:val="false"/>
          <w:bCs w:val="false"/>
          <w:i/>
          <w:i/>
          <w:sz w:val="24"/>
          <w:szCs w:val="24"/>
        </w:rPr>
      </w:pPr>
      <w:r>
        <w:rPr>
          <w:b w:val="false"/>
          <w:bCs w:val="false"/>
          <w:i/>
          <w:sz w:val="24"/>
          <w:szCs w:val="24"/>
        </w:rPr>
        <w:t>Uchwała Nr XXXII/251/2018 RG. w ww. sprawie stanowi załącznik nr 9 do niniejszego protokołu.</w:t>
      </w:r>
    </w:p>
    <w:p>
      <w:pPr>
        <w:pStyle w:val="Wcicietrecitekstu"/>
        <w:tabs>
          <w:tab w:val="left" w:pos="709" w:leader="none"/>
        </w:tabs>
        <w:ind w:left="900" w:right="0" w:hanging="900"/>
        <w:rPr>
          <w:b/>
          <w:b/>
          <w:i/>
          <w:i/>
          <w:sz w:val="24"/>
          <w:szCs w:val="24"/>
        </w:rPr>
      </w:pPr>
      <w:r>
        <w:rPr>
          <w:b/>
          <w:i/>
          <w:sz w:val="24"/>
          <w:szCs w:val="24"/>
        </w:rPr>
      </w:r>
    </w:p>
    <w:p>
      <w:pPr>
        <w:pStyle w:val="Normal"/>
        <w:ind w:left="851" w:right="0" w:hanging="851"/>
        <w:jc w:val="both"/>
        <w:rPr>
          <w:b/>
          <w:b/>
          <w:sz w:val="24"/>
          <w:szCs w:val="24"/>
        </w:rPr>
      </w:pPr>
      <w:bookmarkStart w:id="0" w:name="__DdeLink__59_1390251721"/>
      <w:r>
        <w:rPr>
          <w:b/>
          <w:sz w:val="24"/>
          <w:szCs w:val="24"/>
        </w:rPr>
        <w:t>Pkt  9. – Projekt uchwały w sprawie udzielenia odpowiedzi na skargę do Wojewódzkiego Sądu Administracyjnego w Olsztynie</w:t>
      </w:r>
      <w:bookmarkEnd w:id="0"/>
      <w:r>
        <w:rPr>
          <w:b/>
          <w:sz w:val="24"/>
          <w:szCs w:val="24"/>
        </w:rPr>
        <w:t>.</w:t>
      </w:r>
    </w:p>
    <w:p>
      <w:pPr>
        <w:pStyle w:val="Normal"/>
        <w:jc w:val="both"/>
        <w:rPr>
          <w:b/>
          <w:b/>
          <w:sz w:val="28"/>
          <w:szCs w:val="28"/>
        </w:rPr>
      </w:pPr>
      <w:r>
        <w:rPr>
          <w:b/>
          <w:sz w:val="28"/>
          <w:szCs w:val="28"/>
        </w:rPr>
      </w:r>
    </w:p>
    <w:p>
      <w:pPr>
        <w:pStyle w:val="Normal"/>
        <w:ind w:left="0" w:right="0" w:firstLine="709"/>
        <w:jc w:val="both"/>
        <w:rPr/>
      </w:pPr>
      <w:r>
        <w:rPr>
          <w:sz w:val="24"/>
          <w:szCs w:val="24"/>
        </w:rPr>
        <w:t xml:space="preserve">Przewodniczący Rady Gminy poinformował, że w dniu 9 lutego 2018 r. do Rady Gminy Lidzbark Warmiński wpłynęła skarga Prokuratora Rejonowego w Lidzbarku Warmińskim na uchwałę Nr XXXVI/189/06 Rady Gminy Lidzbark Warmiński z dnia 10 marca 2006 r., w sprawie uchwalenia „Regulaminu dostarczania wody i odprowadzania ścieków”, w części dotyczącej </w:t>
      </w:r>
      <w:r>
        <w:rPr>
          <w:rFonts w:eastAsia="Times New Roman" w:cs="Times New Roman"/>
          <w:sz w:val="24"/>
          <w:szCs w:val="24"/>
        </w:rPr>
        <w:t>§ 27 ust. 4 uchwały. W przedmiotowej skardze Prokurator Rejonowy zarzucił istotne naruszenie prawa poprzez uznanie, że przepisy stanowią podstawę prawną uchwały do nałożenia w drodze uchwały obowiązku ponoszenia wynagrodzenia za wydanie warunków do podłączenia do sieci kanalizacyjnej i/lub wodociągowej. Prokurator wniósł do WSA o stwierdzenie nieważności zaskarżonej uchwały w części dotyczącej § 27 ust. 4 uchwały.</w:t>
      </w:r>
    </w:p>
    <w:p>
      <w:pPr>
        <w:pStyle w:val="Normal"/>
        <w:ind w:left="0" w:right="0" w:hanging="0"/>
        <w:jc w:val="both"/>
        <w:rPr>
          <w:sz w:val="24"/>
          <w:szCs w:val="24"/>
        </w:rPr>
      </w:pPr>
      <w:r>
        <w:rPr>
          <w:bCs/>
          <w:sz w:val="24"/>
          <w:szCs w:val="24"/>
        </w:rPr>
        <w:t>Projekt uchwały omawiany był na posiedzeniach Komisji Rady Gminy i został zaopiniowany pozytywnie.</w:t>
      </w:r>
    </w:p>
    <w:p>
      <w:pPr>
        <w:pStyle w:val="Normal"/>
        <w:tabs>
          <w:tab w:val="left" w:pos="360" w:leader="none"/>
        </w:tabs>
        <w:ind w:left="0" w:right="0" w:hanging="0"/>
        <w:jc w:val="both"/>
        <w:rPr>
          <w:sz w:val="24"/>
          <w:szCs w:val="24"/>
        </w:rPr>
      </w:pPr>
      <w:r>
        <w:rPr>
          <w:sz w:val="24"/>
          <w:szCs w:val="24"/>
        </w:rPr>
        <w:t>V</w:t>
        <w:noBreakHyphen/>
        <w:t>ce Przewodnicząca RG. p. Iwona Końka odczytała projekt uchwały w tej sprawie.</w:t>
      </w:r>
    </w:p>
    <w:p>
      <w:pPr>
        <w:pStyle w:val="Wcicietrecitekstu"/>
        <w:tabs>
          <w:tab w:val="left" w:pos="709" w:leader="none"/>
        </w:tabs>
        <w:ind w:left="0" w:right="0" w:hanging="0"/>
        <w:rPr>
          <w:sz w:val="24"/>
          <w:szCs w:val="24"/>
        </w:rPr>
      </w:pPr>
      <w:r>
        <w:rPr>
          <w:sz w:val="24"/>
          <w:szCs w:val="24"/>
        </w:rPr>
        <w:t>Nie było zgłoszeń do projektu uchwały, w związku z tym poddano go pod głosowanie.</w:t>
      </w:r>
    </w:p>
    <w:p>
      <w:pPr>
        <w:pStyle w:val="Wcicietrecitekstu"/>
        <w:tabs>
          <w:tab w:val="left" w:pos="709" w:leader="none"/>
        </w:tabs>
        <w:ind w:left="0" w:right="0" w:firstLine="709"/>
        <w:rPr/>
      </w:pPr>
      <w:r>
        <w:rPr>
          <w:sz w:val="24"/>
          <w:szCs w:val="24"/>
        </w:rPr>
        <w:t>W wyniku głosowania, w którym wzięło udział 11 radnych, Rada Gminy jednogłośnie</w:t>
        <w:br/>
        <w:t>(</w:t>
      </w:r>
      <w:r>
        <w:rPr>
          <w:bCs/>
          <w:sz w:val="24"/>
          <w:szCs w:val="24"/>
        </w:rPr>
        <w:t>11 głosów „ZA”, 0 głosów „PRZECIW”, nikt nie wstrzymał się od głosu</w:t>
      </w:r>
      <w:r>
        <w:rPr>
          <w:sz w:val="24"/>
          <w:szCs w:val="24"/>
        </w:rPr>
        <w:t>) podjęła uchwałę</w:t>
        <w:br/>
        <w:t>w sprawie udzielenia odpowiedzi na skargę do Wojewódzkiego Sądu Administracyjnego</w:t>
        <w:br/>
        <w:t>w Olsztynie.</w:t>
      </w:r>
    </w:p>
    <w:p>
      <w:pPr>
        <w:pStyle w:val="Wcicietrecitekstu"/>
        <w:tabs>
          <w:tab w:val="left" w:pos="0" w:leader="none"/>
        </w:tabs>
        <w:spacing w:lineRule="auto" w:line="240"/>
        <w:ind w:left="0" w:right="0" w:hanging="0"/>
        <w:rPr>
          <w:i/>
          <w:i/>
          <w:sz w:val="24"/>
          <w:szCs w:val="24"/>
        </w:rPr>
      </w:pPr>
      <w:r>
        <w:rPr>
          <w:i/>
          <w:sz w:val="24"/>
          <w:szCs w:val="24"/>
        </w:rPr>
        <w:t>Uchwała Nr X</w:t>
        <w:tab/>
        <w:t>XXII/252/2018 RG. w ww. sprawie stanowi załącznik nr 10 do niniejszego protokołu.</w:t>
      </w:r>
    </w:p>
    <w:p>
      <w:pPr>
        <w:pStyle w:val="Wcicietrecitekstu"/>
        <w:tabs>
          <w:tab w:val="left" w:pos="0" w:leader="none"/>
        </w:tabs>
        <w:ind w:left="0" w:right="0" w:hanging="0"/>
        <w:rPr>
          <w:i/>
          <w:i/>
          <w:sz w:val="24"/>
          <w:szCs w:val="24"/>
        </w:rPr>
      </w:pPr>
      <w:r>
        <w:rPr>
          <w:i/>
          <w:sz w:val="24"/>
          <w:szCs w:val="24"/>
        </w:rPr>
      </w:r>
    </w:p>
    <w:p>
      <w:pPr>
        <w:pStyle w:val="Wcicietrecitekstu"/>
        <w:tabs>
          <w:tab w:val="left" w:pos="0" w:leader="none"/>
        </w:tabs>
        <w:ind w:left="0" w:right="0" w:hanging="0"/>
        <w:rPr>
          <w:i/>
          <w:i/>
          <w:sz w:val="24"/>
          <w:szCs w:val="24"/>
        </w:rPr>
      </w:pPr>
      <w:r>
        <w:rPr>
          <w:i/>
          <w:sz w:val="24"/>
          <w:szCs w:val="24"/>
        </w:rPr>
      </w:r>
    </w:p>
    <w:p>
      <w:pPr>
        <w:pStyle w:val="Wcicietrecitekstu"/>
        <w:tabs>
          <w:tab w:val="left" w:pos="0" w:leader="none"/>
        </w:tabs>
        <w:ind w:left="0" w:right="0" w:hanging="0"/>
        <w:rPr>
          <w:i/>
          <w:i/>
          <w:sz w:val="24"/>
          <w:szCs w:val="24"/>
        </w:rPr>
      </w:pPr>
      <w:r>
        <w:rPr>
          <w:i/>
          <w:sz w:val="24"/>
          <w:szCs w:val="24"/>
        </w:rPr>
      </w:r>
    </w:p>
    <w:p>
      <w:pPr>
        <w:pStyle w:val="Normal"/>
        <w:tabs>
          <w:tab w:val="left" w:pos="0" w:leader="none"/>
        </w:tabs>
        <w:ind w:left="851" w:right="0" w:hanging="851"/>
        <w:jc w:val="both"/>
        <w:rPr>
          <w:b/>
          <w:b/>
          <w:i w:val="false"/>
          <w:i w:val="false"/>
          <w:iCs w:val="false"/>
          <w:sz w:val="24"/>
          <w:szCs w:val="24"/>
          <w:highlight w:val="yellow"/>
        </w:rPr>
      </w:pPr>
      <w:r>
        <w:rPr>
          <w:b/>
          <w:i w:val="false"/>
          <w:iCs w:val="false"/>
          <w:sz w:val="24"/>
          <w:szCs w:val="24"/>
        </w:rPr>
        <w:t>Pkt  10. – Projekt uchwały w sprawie udzielenia odpowiedzi na skargę do Wojewódzkiego Sądu Administracyjnego w Olsztynie.</w:t>
      </w:r>
    </w:p>
    <w:p>
      <w:pPr>
        <w:pStyle w:val="Wcicietrecitekstu"/>
        <w:tabs>
          <w:tab w:val="left" w:pos="0" w:leader="none"/>
        </w:tabs>
        <w:ind w:left="0" w:right="0" w:hanging="0"/>
        <w:rPr>
          <w:b/>
          <w:b/>
          <w:i/>
          <w:i/>
          <w:sz w:val="24"/>
          <w:szCs w:val="24"/>
        </w:rPr>
      </w:pPr>
      <w:r>
        <w:rPr>
          <w:b/>
          <w:i/>
          <w:sz w:val="24"/>
          <w:szCs w:val="24"/>
        </w:rPr>
      </w:r>
    </w:p>
    <w:p>
      <w:pPr>
        <w:pStyle w:val="Normal"/>
        <w:ind w:left="0" w:right="0" w:firstLine="709"/>
        <w:jc w:val="both"/>
        <w:rPr/>
      </w:pPr>
      <w:r>
        <w:rPr>
          <w:bCs/>
          <w:sz w:val="24"/>
          <w:szCs w:val="24"/>
        </w:rPr>
        <w:t>Przewodniczący Rady Gminy poinformował, że w dniu 23 lutego 2018 r. do Rady Gminy Lidzbark Warmiński wpłynęła skarga Prokuratora Rejonowego w Lidzbarku Warmińskim na uchwałę Nr XX/173/2017 z dnia 23 lutego 2017 r., w sprawie przyjęcia programu opieki nad zwierzętami bezdomnymi oraz zapobiegania bezdomności zwierząt na terenie Gminy Lidzbark Warmiński na rok 2017. W przedmiotowej skardze Prokurator Rejonowy zarzucił wydanie w/w uchwały z rażącym naruszeniem prawa poprzez zaniechanie opublikowania jej w Dzienniku Urzędowym Województwa Warmińsko-Mazurskiego.</w:t>
      </w:r>
    </w:p>
    <w:p>
      <w:pPr>
        <w:pStyle w:val="Normal"/>
        <w:ind w:left="0" w:right="0" w:hanging="0"/>
        <w:jc w:val="both"/>
        <w:rPr>
          <w:bCs/>
          <w:sz w:val="24"/>
          <w:szCs w:val="24"/>
        </w:rPr>
      </w:pPr>
      <w:r>
        <w:rPr>
          <w:bCs/>
          <w:sz w:val="24"/>
          <w:szCs w:val="24"/>
        </w:rPr>
        <w:t>Projekt uchwały omawiany był na posiedzeniach Komisji Rady Gminy i został zaopiniowany pozytywnie.</w:t>
      </w:r>
    </w:p>
    <w:p>
      <w:pPr>
        <w:pStyle w:val="Normal"/>
        <w:ind w:left="0" w:right="0" w:hanging="0"/>
        <w:jc w:val="both"/>
        <w:rPr/>
      </w:pPr>
      <w:r>
        <w:rPr>
          <w:bCs/>
          <w:sz w:val="24"/>
          <w:szCs w:val="24"/>
        </w:rPr>
        <w:t>V-ce Przewodnicząca RG. p. Iwona Końka przedstawiła projekt  uchwały w tej sprawie.</w:t>
      </w:r>
    </w:p>
    <w:p>
      <w:pPr>
        <w:pStyle w:val="Normal"/>
        <w:ind w:left="0" w:right="0" w:hanging="0"/>
        <w:jc w:val="both"/>
        <w:rPr>
          <w:bCs/>
          <w:sz w:val="24"/>
          <w:szCs w:val="24"/>
        </w:rPr>
      </w:pPr>
      <w:r>
        <w:rPr>
          <w:bCs/>
          <w:sz w:val="24"/>
          <w:szCs w:val="24"/>
        </w:rPr>
        <w:t>Nie było zgłoszeń do projektu uchwały, w związku z tym poddano go pod głosowanie.</w:t>
      </w:r>
    </w:p>
    <w:p>
      <w:pPr>
        <w:pStyle w:val="Normal"/>
        <w:ind w:left="0" w:right="0" w:firstLine="709"/>
        <w:jc w:val="both"/>
        <w:rPr/>
      </w:pPr>
      <w:r>
        <w:rPr>
          <w:bCs/>
          <w:sz w:val="24"/>
          <w:szCs w:val="24"/>
        </w:rPr>
        <w:t>W wyniku głosowania, w którym wzięło udział 11 radnych, Rada Gminy jednogłośnie</w:t>
        <w:br/>
        <w:t>(11 głosów „ZA”, 0 głosów „PRZECIW”, nikt nie wstrzymał się od głosu) podjęła uchwałę</w:t>
        <w:br/>
        <w:t>w sprawie udzielenia odpowiedzi na skargę do Wojewódzkiego Sądu Administracyjnego</w:t>
        <w:br/>
        <w:t>w Olsztynie.</w:t>
      </w:r>
    </w:p>
    <w:p>
      <w:pPr>
        <w:pStyle w:val="Wcicietrecitekstu"/>
        <w:tabs>
          <w:tab w:val="left" w:pos="709" w:leader="none"/>
        </w:tabs>
        <w:ind w:left="0" w:right="0" w:hanging="0"/>
        <w:rPr/>
      </w:pPr>
      <w:r>
        <w:rPr>
          <w:b w:val="false"/>
          <w:bCs w:val="false"/>
          <w:i/>
          <w:sz w:val="24"/>
          <w:szCs w:val="24"/>
        </w:rPr>
        <w:t>Uchwała Nr XXXII/253/2018 RG. w ww. sprawie stanowi załącznik nr 11 do niniejszego protokołu.</w:t>
      </w:r>
    </w:p>
    <w:p>
      <w:pPr>
        <w:pStyle w:val="Wcicietrecitekstu"/>
        <w:tabs>
          <w:tab w:val="left" w:pos="0" w:leader="none"/>
        </w:tabs>
        <w:ind w:left="0" w:right="0" w:hanging="0"/>
        <w:rPr>
          <w:b/>
          <w:b/>
          <w:i/>
          <w:i/>
          <w:sz w:val="24"/>
          <w:szCs w:val="24"/>
        </w:rPr>
      </w:pPr>
      <w:r>
        <w:rPr>
          <w:b/>
          <w:i/>
          <w:sz w:val="24"/>
          <w:szCs w:val="24"/>
        </w:rPr>
      </w:r>
    </w:p>
    <w:p>
      <w:pPr>
        <w:pStyle w:val="Wcicietrecitekstu"/>
        <w:tabs>
          <w:tab w:val="left" w:pos="0" w:leader="none"/>
        </w:tabs>
        <w:ind w:left="0" w:right="0" w:hanging="0"/>
        <w:rPr/>
      </w:pPr>
      <w:r>
        <w:rPr>
          <w:b/>
          <w:sz w:val="24"/>
          <w:szCs w:val="24"/>
        </w:rPr>
        <w:t>Pkt 11. – Informacja Wójta z bieżącej działalności gminy.</w:t>
      </w:r>
    </w:p>
    <w:p>
      <w:pPr>
        <w:pStyle w:val="Normal"/>
        <w:ind w:left="539" w:right="0" w:hanging="539"/>
        <w:jc w:val="both"/>
        <w:rPr>
          <w:b/>
          <w:b/>
          <w:sz w:val="24"/>
          <w:szCs w:val="24"/>
        </w:rPr>
      </w:pPr>
      <w:r>
        <w:rPr>
          <w:b/>
          <w:sz w:val="24"/>
          <w:szCs w:val="24"/>
        </w:rPr>
      </w:r>
    </w:p>
    <w:p>
      <w:pPr>
        <w:pStyle w:val="NormalnyWeb"/>
        <w:spacing w:before="0" w:after="0"/>
        <w:ind w:left="0" w:right="0" w:firstLine="539"/>
        <w:jc w:val="both"/>
        <w:rPr/>
      </w:pPr>
      <w:r>
        <w:rPr/>
        <w:t>Na wstępie Wójt Gminy poinformował, że w związku z niesprzyjającymi warunkami atmosferycznymi zostały wstrzymane prace przy zadaniu „Poprawa gospodarki wodno-ściekowej</w:t>
        <w:br/>
        <w:t>w gminie Lidzbark Warmiński”. Roboty zostaną wznowione jak tylko poprawi się pogoda. Powiadomił także, że w wyniku braku zainteresowania oferentów nie sprzedano żadnej</w:t>
        <w:br/>
        <w:t>z nieruchomości przeznaczonych do sprzedaży.  Wynajęto lokal użytkowy w Kochanówce nr 17</w:t>
      </w:r>
      <w:r>
        <w:rPr>
          <w:i w:val="false"/>
          <w:iCs w:val="false"/>
          <w:sz w:val="24"/>
          <w:szCs w:val="24"/>
        </w:rPr>
        <w:t>, najemca prowadzić w nim będzie sklep spożywczy. Wywieszono także wykaz nieruchomości przeznaczonych na sprzedaż: niezabudowane działki gruntu w Markajmach nr 2/25 i 2/26, cena  250.000,00 zł + VAT, działka gruntu w Runowie nr 2/4, cena  18.000,00 zł, działka gruntu w Blankach nr 182/9, cena  250.000,00 zł + VAT, działka gruntu w Drwęcy nr 80/4, cena 4.500,00 zł. Przeprowadzono ponowną wycenę nieruchomości w Markajmach działka gruntu nr 6/8, aktualna cena wynosi 470.000,00 zł + VAT.</w:t>
      </w:r>
    </w:p>
    <w:p>
      <w:pPr>
        <w:pStyle w:val="Normal"/>
        <w:ind w:left="0" w:right="0" w:firstLine="709"/>
        <w:jc w:val="both"/>
        <w:rPr/>
      </w:pPr>
      <w:r>
        <w:rPr>
          <w:i w:val="false"/>
          <w:iCs w:val="false"/>
          <w:sz w:val="24"/>
          <w:szCs w:val="24"/>
        </w:rPr>
        <w:t>W dalszej części swojego wystąpienia Wójt poinformował, że cały czas trwają prace przy wycince drzew rosnących przy drogach gminnych. Drewno pozyskane z wycinki przeznaczane jest dla mieszkańców Gminy będących podopiecznymi Gminnego Ośrodka Pomocy Społecznej. Do tej pory już ponad 30 rodzin otrzymało bezpłatnie drewno na opał. Trwają także prace remontowe</w:t>
        <w:br/>
        <w:t>w budynku Urzędu Gminy: remontowane jest archiwum zakładowe oraz lewe skrzydło na pierwszym piętrze budynku. Wójt Powiadomił także, że złożono wniosek  na dofinansowanie programu w ramach Regionalnego Programu Operacyjnego Warmia Mazury na zajęcia pozalekcyjne dla szkół z terenu Gminy na kwotę  1.011.923,47 zł. Kwota ta bardzo pomogłaby</w:t>
        <w:br/>
        <w:t>w rozszerzeniu oferty szkół kierowanej do dzieci z naszego terenu.</w:t>
      </w:r>
    </w:p>
    <w:p>
      <w:pPr>
        <w:pStyle w:val="Normal"/>
        <w:ind w:left="0" w:right="0" w:firstLine="709"/>
        <w:jc w:val="both"/>
        <w:rPr/>
      </w:pPr>
      <w:r>
        <w:rPr>
          <w:i w:val="false"/>
          <w:iCs w:val="false"/>
          <w:sz w:val="24"/>
          <w:szCs w:val="24"/>
        </w:rPr>
        <w:t xml:space="preserve">Następnie Wójt przekazał głos Sekretarzowi Gminy panu, który przedstawił szczegółowe wyjaśnienia dotyczące skarg Prokuratora Rejonowego w Lidzbarku Warmińskim. Wyjaśnił, że skarga dotycząca uchwały Nr XXXVI/189/06 w sprawie uchwalenia „Regulaminu dostarczania i odprowadzania ścieków” dotyczy jedynie </w:t>
      </w:r>
      <w:r>
        <w:rPr>
          <w:rFonts w:eastAsia="Times New Roman" w:cs="Times New Roman"/>
          <w:i w:val="false"/>
          <w:iCs w:val="false"/>
          <w:sz w:val="24"/>
          <w:szCs w:val="24"/>
        </w:rPr>
        <w:t xml:space="preserve">§ 27 ust. 4 w/w uchwały tj. konieczności zapłaty wynagrodzenia za wydanie „Warunków przyłączenia do sieci wodociągowej i/lub kanalizacyjnej” oraz opłaty za budowę przyłączy. Druga skarga dotyczyła uchwały Nr XX/173/2017 w sprawie  </w:t>
      </w:r>
      <w:r>
        <w:rPr>
          <w:rFonts w:eastAsia="Times New Roman" w:cs="Times New Roman"/>
          <w:bCs/>
          <w:i w:val="false"/>
          <w:iCs w:val="false"/>
          <w:sz w:val="24"/>
          <w:szCs w:val="24"/>
        </w:rPr>
        <w:t>przyjęcia programu opieki nad zwierzętami bezdomnymi oraz zapobiegania bezdomności zwierząt na terenie Gminy Lidzbark Warmiński na rok 2017. W tym wypadku skarga dotyczy nieopublikowania przedmiotowej uchwały w Dzienniku Urzędowym Województwa Warmińsko-Mazurskiego. Wyjaśnił, że w podejmowanym na obecnej sesji Rady Gminy projekcie uchwały znalazł się zapis o publikacji w Dzienniku Urzędowym Województwa. W sprawie publikacji gminnych programów opieki nad zwierzętami bezdomnymi toczył się w całym kraju od jakiegoś czasu spór prawny dotyczący publikowania tychże uchwał w Dziennikach Urzędowych Województw. Dopiero pismem z dnia 19 grudnia 2017 r., Wojewoda Warmińsko-Mazurski poinformował o ugruntowaniu linii orzeczniczej w tej sprawie. Pamiętać też należy, że przedmiotowa uchwała podejmowana była w roku 2017 tylko na ten rok, w związku z czym w chwili obecnej uchwała ta, nie znajduje się w obrocie prawnym. W obu tych sprawach przed Wojewódzkim Sądem Administracyjnym w Olsztynie Gminę Lidzbark Warmiński będzie reprezentować Radca Prawny pani Katarzyna Wasilewska.</w:t>
      </w:r>
    </w:p>
    <w:p>
      <w:pPr>
        <w:pStyle w:val="Normal"/>
        <w:ind w:left="0" w:right="0" w:firstLine="709"/>
        <w:jc w:val="both"/>
        <w:rPr/>
      </w:pPr>
      <w:r>
        <w:rPr>
          <w:rFonts w:eastAsia="Times New Roman" w:cs="Times New Roman"/>
          <w:bCs/>
          <w:i w:val="false"/>
          <w:iCs w:val="false"/>
          <w:sz w:val="24"/>
          <w:szCs w:val="24"/>
        </w:rPr>
        <w:t>W dalszej kolejności Przewodniczący Rady Gminy przekazał głos Zastępcy Wójta panu Tomaszowi Kołodziejczykowi, który wyjaśnił zgłaszany w ostatnim czasie problem odbioru od rolników folii rolniczej. Poinformował, że folia odbierana będzie przez firmę Ekopolimer odbierającą odpady komunalne z terenu Gminy po wcześniejszej informacji telefonicznej. Jednorazowy koszt odbioru wyniesie 50 zł niezależnie od ilości odbieranej folii. Na chwile obecną nie będzie odbierany sznurek rolniczy, ze względu na zbyt duże wahania cen tego surowca.</w:t>
      </w:r>
    </w:p>
    <w:p>
      <w:pPr>
        <w:pStyle w:val="Normal"/>
        <w:ind w:left="0" w:right="0" w:firstLine="709"/>
        <w:jc w:val="both"/>
        <w:rPr/>
      </w:pPr>
      <w:r>
        <w:rPr>
          <w:rFonts w:eastAsia="Times New Roman" w:cs="Times New Roman"/>
          <w:bCs/>
          <w:i w:val="false"/>
          <w:iCs w:val="false"/>
          <w:sz w:val="24"/>
          <w:szCs w:val="24"/>
        </w:rPr>
        <w:t>Na zakończenie głosu udzielono Pani Skarbnik Gminy - Małgorzacie Sobolewskiej. Skarbnik przedstawiła zebranym sprawę wygranego przez Gminę postępowania sądowego dotyczącego roszczenia o zwrot nadpłaty w podatku rolnym, płaconego przez osobę fizyczną na rzecz Gminy za spółkę. Kwota sporna to około 150 tys. zł. Przed sądem Gminę reprezentowała Pani Radca Prawny Katarzyna Wasilewska.</w:t>
      </w:r>
    </w:p>
    <w:p>
      <w:pPr>
        <w:pStyle w:val="Normal"/>
        <w:rPr>
          <w:i/>
          <w:i/>
          <w:sz w:val="24"/>
          <w:szCs w:val="24"/>
        </w:rPr>
      </w:pPr>
      <w:r>
        <w:rPr>
          <w:i/>
          <w:sz w:val="24"/>
          <w:szCs w:val="24"/>
        </w:rPr>
      </w:r>
    </w:p>
    <w:p>
      <w:pPr>
        <w:pStyle w:val="Normal"/>
        <w:rPr/>
      </w:pPr>
      <w:r>
        <w:rPr>
          <w:b/>
          <w:sz w:val="24"/>
          <w:szCs w:val="24"/>
        </w:rPr>
        <w:t>Pkt 12. – Interpelacje i wnioski.</w:t>
      </w:r>
    </w:p>
    <w:p>
      <w:pPr>
        <w:pStyle w:val="Normal"/>
        <w:rPr>
          <w:sz w:val="24"/>
          <w:szCs w:val="24"/>
        </w:rPr>
      </w:pPr>
      <w:r>
        <w:rPr>
          <w:sz w:val="24"/>
          <w:szCs w:val="24"/>
        </w:rPr>
      </w:r>
    </w:p>
    <w:p>
      <w:pPr>
        <w:pStyle w:val="Normal"/>
        <w:ind w:left="0" w:right="0" w:firstLine="709"/>
        <w:jc w:val="both"/>
        <w:rPr>
          <w:sz w:val="24"/>
          <w:szCs w:val="24"/>
        </w:rPr>
      </w:pPr>
      <w:r>
        <w:rPr>
          <w:sz w:val="24"/>
          <w:szCs w:val="24"/>
        </w:rPr>
        <w:t xml:space="preserve"> </w:t>
      </w:r>
      <w:r>
        <w:rPr>
          <w:sz w:val="24"/>
          <w:szCs w:val="24"/>
        </w:rPr>
        <w:t>Nie zgłoszono żadnych wniosków.</w:t>
      </w:r>
    </w:p>
    <w:p>
      <w:pPr>
        <w:pStyle w:val="Normal"/>
        <w:jc w:val="both"/>
        <w:rPr/>
      </w:pPr>
      <w:r>
        <w:rPr>
          <w:sz w:val="24"/>
          <w:szCs w:val="24"/>
        </w:rPr>
        <w:tab/>
        <w:t>W związku z wyczerpaniem  porządku  obrad,  Przewodniczący Rady Gminy Lidzbark Warmiński – Pan Jan Znamierowski zamknął trzydziesta drugą sesję Rady Gminy Lidzbark Warmiński, dziękując wszystkim za udział w sesji.</w:t>
      </w:r>
    </w:p>
    <w:p>
      <w:pPr>
        <w:pStyle w:val="Normal"/>
        <w:rPr>
          <w:sz w:val="24"/>
          <w:szCs w:val="24"/>
        </w:rPr>
      </w:pPr>
      <w:r>
        <w:rPr>
          <w:sz w:val="24"/>
          <w:szCs w:val="24"/>
        </w:rPr>
      </w:r>
    </w:p>
    <w:p>
      <w:pPr>
        <w:pStyle w:val="Normal"/>
        <w:rPr/>
      </w:pPr>
      <w:r>
        <w:rPr/>
        <w:t>Protokolant:</w:t>
      </w:r>
      <w:r>
        <w:rPr>
          <w:sz w:val="24"/>
          <w:szCs w:val="24"/>
        </w:rPr>
        <w:tab/>
        <w:tab/>
        <w:tab/>
        <w:tab/>
        <w:tab/>
        <w:tab/>
        <w:tab/>
        <w:t xml:space="preserve">  PRZEWODNICZĄCY</w:t>
      </w:r>
    </w:p>
    <w:p>
      <w:pPr>
        <w:pStyle w:val="Normal"/>
        <w:rPr>
          <w:sz w:val="24"/>
          <w:szCs w:val="24"/>
        </w:rPr>
      </w:pPr>
      <w:r>
        <w:rPr/>
        <w:t>Radosław Krajewski</w:t>
      </w:r>
      <w:r>
        <w:rPr>
          <w:sz w:val="24"/>
          <w:szCs w:val="24"/>
        </w:rPr>
        <w:tab/>
        <w:tab/>
        <w:tab/>
        <w:tab/>
        <w:tab/>
        <w:tab/>
        <w:t xml:space="preserve">         Rady Gminy</w:t>
      </w:r>
    </w:p>
    <w:p>
      <w:pPr>
        <w:pStyle w:val="Normal"/>
        <w:rPr>
          <w:sz w:val="24"/>
          <w:szCs w:val="24"/>
        </w:rPr>
      </w:pPr>
      <w:r>
        <w:rPr>
          <w:sz w:val="24"/>
          <w:szCs w:val="24"/>
        </w:rPr>
        <w:tab/>
        <w:tab/>
        <w:tab/>
        <w:tab/>
        <w:tab/>
        <w:tab/>
        <w:tab/>
        <w:tab/>
      </w:r>
      <w:r>
        <w:rPr>
          <w:b/>
          <w:sz w:val="24"/>
          <w:szCs w:val="24"/>
        </w:rPr>
        <w:t xml:space="preserve">    Jan Znamierowski</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ind w:left="7080" w:right="0" w:firstLine="708"/>
        <w:rPr>
          <w:sz w:val="24"/>
          <w:szCs w:val="24"/>
        </w:rPr>
      </w:pPr>
      <w:r>
        <w:rPr>
          <w:sz w:val="24"/>
          <w:szCs w:val="24"/>
        </w:rPr>
        <w:t>Załącznik Nr 1</w:t>
      </w:r>
    </w:p>
    <w:p>
      <w:pPr>
        <w:pStyle w:val="Normal"/>
        <w:rPr>
          <w:sz w:val="24"/>
          <w:szCs w:val="24"/>
        </w:rPr>
      </w:pPr>
      <w:r>
        <w:rPr>
          <w:sz w:val="24"/>
          <w:szCs w:val="24"/>
        </w:rPr>
        <w:drawing>
          <wp:anchor behindDoc="0" distT="0" distB="0" distL="0" distR="0" simplePos="0" locked="0" layoutInCell="1" allowOverlap="1" relativeHeight="30">
            <wp:simplePos x="0" y="0"/>
            <wp:positionH relativeFrom="column">
              <wp:align>center</wp:align>
            </wp:positionH>
            <wp:positionV relativeFrom="paragraph">
              <wp:posOffset>635</wp:posOffset>
            </wp:positionV>
            <wp:extent cx="6119495" cy="8653780"/>
            <wp:effectExtent l="0" t="0" r="0" b="0"/>
            <wp:wrapSquare wrapText="largest"/>
            <wp:docPr id="1"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descr=""/>
                    <pic:cNvPicPr>
                      <a:picLocks noChangeAspect="1" noChangeArrowheads="1"/>
                    </pic:cNvPicPr>
                  </pic:nvPicPr>
                  <pic:blipFill>
                    <a:blip r:embed="rId2"/>
                    <a:stretch>
                      <a:fillRect/>
                    </a:stretch>
                  </pic:blipFill>
                  <pic:spPr bwMode="auto">
                    <a:xfrm>
                      <a:off x="0" y="0"/>
                      <a:ext cx="6119495" cy="8653780"/>
                    </a:xfrm>
                    <a:prstGeom prst="rect">
                      <a:avLst/>
                    </a:prstGeom>
                  </pic:spPr>
                </pic:pic>
              </a:graphicData>
            </a:graphic>
          </wp:anchor>
        </w:drawing>
      </w:r>
    </w:p>
    <w:p>
      <w:pPr>
        <w:pStyle w:val="Normal"/>
        <w:ind w:left="7080" w:right="0" w:firstLine="708"/>
        <w:rPr>
          <w:sz w:val="24"/>
          <w:szCs w:val="24"/>
        </w:rPr>
      </w:pPr>
      <w:r>
        <w:rPr>
          <w:sz w:val="24"/>
          <w:szCs w:val="24"/>
        </w:rPr>
      </w:r>
    </w:p>
    <w:p>
      <w:pPr>
        <w:pStyle w:val="Normal"/>
        <w:ind w:left="7080" w:right="0" w:firstLine="708"/>
        <w:rPr>
          <w:sz w:val="24"/>
          <w:szCs w:val="24"/>
        </w:rPr>
      </w:pPr>
      <w:r>
        <w:rPr>
          <w:sz w:val="24"/>
          <w:szCs w:val="24"/>
        </w:rPr>
        <w:t>Załącznik Nr 2</w:t>
      </w:r>
    </w:p>
    <w:p>
      <w:pPr>
        <w:pStyle w:val="Normal"/>
        <w:rPr>
          <w:sz w:val="24"/>
          <w:szCs w:val="24"/>
        </w:rPr>
      </w:pPr>
      <w:r>
        <w:rPr>
          <w:sz w:val="24"/>
          <w:szCs w:val="24"/>
        </w:rPr>
        <w:drawing>
          <wp:anchor behindDoc="0" distT="0" distB="0" distL="0" distR="0" simplePos="0" locked="0" layoutInCell="1" allowOverlap="1" relativeHeight="31">
            <wp:simplePos x="0" y="0"/>
            <wp:positionH relativeFrom="column">
              <wp:align>center</wp:align>
            </wp:positionH>
            <wp:positionV relativeFrom="paragraph">
              <wp:posOffset>635</wp:posOffset>
            </wp:positionV>
            <wp:extent cx="6119495" cy="8653780"/>
            <wp:effectExtent l="0" t="0" r="0" b="0"/>
            <wp:wrapSquare wrapText="largest"/>
            <wp:docPr id="2"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descr=""/>
                    <pic:cNvPicPr>
                      <a:picLocks noChangeAspect="1" noChangeArrowheads="1"/>
                    </pic:cNvPicPr>
                  </pic:nvPicPr>
                  <pic:blipFill>
                    <a:blip r:embed="rId3"/>
                    <a:stretch>
                      <a:fillRect/>
                    </a:stretch>
                  </pic:blipFill>
                  <pic:spPr bwMode="auto">
                    <a:xfrm>
                      <a:off x="0" y="0"/>
                      <a:ext cx="6119495" cy="8653780"/>
                    </a:xfrm>
                    <a:prstGeom prst="rect">
                      <a:avLst/>
                    </a:prstGeom>
                  </pic:spPr>
                </pic:pic>
              </a:graphicData>
            </a:graphic>
          </wp:anchor>
        </w:drawing>
      </w:r>
    </w:p>
    <w:p>
      <w:pPr>
        <w:sectPr>
          <w:footerReference w:type="default" r:id="rId4"/>
          <w:footerReference w:type="first" r:id="rId5"/>
          <w:type w:val="nextPage"/>
          <w:pgSz w:w="11906" w:h="16838"/>
          <w:pgMar w:left="1418" w:right="851" w:header="0" w:top="1134" w:footer="709" w:bottom="1135" w:gutter="0"/>
          <w:pgNumType w:fmt="decimal"/>
          <w:formProt w:val="false"/>
          <w:titlePg/>
          <w:textDirection w:val="lrTb"/>
          <w:docGrid w:type="default" w:linePitch="360" w:charSpace="2047"/>
        </w:sectPr>
        <w:pStyle w:val="Normal"/>
        <w:rPr>
          <w:sz w:val="24"/>
          <w:szCs w:val="24"/>
        </w:rPr>
      </w:pPr>
      <w:r>
        <w:rPr>
          <w:sz w:val="24"/>
          <w:szCs w:val="24"/>
        </w:rPr>
      </w:r>
    </w:p>
    <w:p>
      <w:pPr>
        <w:pStyle w:val="Normal"/>
        <w:jc w:val="right"/>
        <w:rPr>
          <w:rFonts w:ascii="Times New Roman" w:hAnsi="Times New Roman" w:cs="Tahoma"/>
          <w:b w:val="false"/>
          <w:b w:val="false"/>
          <w:bCs w:val="false"/>
          <w:sz w:val="24"/>
          <w:szCs w:val="24"/>
          <w:u w:val="none"/>
        </w:rPr>
      </w:pPr>
      <w:r>
        <w:rPr>
          <w:rFonts w:cs="Tahoma" w:ascii="Times New Roman" w:hAnsi="Times New Roman"/>
          <w:b w:val="false"/>
          <w:bCs w:val="false"/>
          <w:sz w:val="24"/>
          <w:szCs w:val="24"/>
          <w:u w:val="none"/>
        </w:rPr>
        <w:t>Załącznik nr 12</w:t>
      </w:r>
    </w:p>
    <w:p>
      <w:pPr>
        <w:pStyle w:val="Normal"/>
        <w:jc w:val="right"/>
        <w:rPr>
          <w:rFonts w:ascii="Times New Roman" w:hAnsi="Times New Roman" w:cs="Tahoma"/>
          <w:b w:val="false"/>
          <w:b w:val="false"/>
          <w:bCs w:val="false"/>
          <w:sz w:val="24"/>
          <w:szCs w:val="24"/>
          <w:u w:val="none"/>
        </w:rPr>
      </w:pPr>
      <w:r>
        <w:rPr>
          <w:rFonts w:cs="Tahoma" w:ascii="Times New Roman" w:hAnsi="Times New Roman"/>
          <w:b w:val="false"/>
          <w:bCs w:val="false"/>
          <w:sz w:val="24"/>
          <w:szCs w:val="24"/>
          <w:u w:val="none"/>
        </w:rPr>
      </w:r>
    </w:p>
    <w:p>
      <w:pPr>
        <w:pStyle w:val="Normal"/>
        <w:jc w:val="center"/>
        <w:rPr>
          <w:rFonts w:ascii="Tahoma" w:hAnsi="Tahoma" w:cs="Tahoma"/>
          <w:b/>
          <w:b/>
          <w:sz w:val="28"/>
          <w:szCs w:val="28"/>
          <w:u w:val="single"/>
        </w:rPr>
      </w:pPr>
      <w:r>
        <w:rPr>
          <w:rFonts w:cs="Tahoma" w:ascii="Tahoma" w:hAnsi="Tahoma"/>
          <w:b/>
          <w:sz w:val="28"/>
          <w:szCs w:val="28"/>
          <w:u w:val="single"/>
        </w:rPr>
        <w:t>Wykaz prac remontowo-drogowych wykonanych</w:t>
      </w:r>
    </w:p>
    <w:p>
      <w:pPr>
        <w:pStyle w:val="Normal"/>
        <w:jc w:val="center"/>
        <w:rPr>
          <w:rFonts w:ascii="Tahoma" w:hAnsi="Tahoma" w:cs="Tahoma"/>
          <w:b/>
          <w:b/>
          <w:sz w:val="28"/>
          <w:szCs w:val="28"/>
          <w:u w:val="single"/>
        </w:rPr>
      </w:pPr>
      <w:r>
        <w:rPr>
          <w:rFonts w:cs="Tahoma" w:ascii="Tahoma" w:hAnsi="Tahoma"/>
          <w:b/>
          <w:sz w:val="28"/>
          <w:szCs w:val="28"/>
          <w:u w:val="single"/>
        </w:rPr>
        <w:t>w okresie od 12.12.2017 r. do 26.02.2018 r.                                                                 na terenie Gminy Lidzbark Warmiński</w:t>
      </w:r>
    </w:p>
    <w:p>
      <w:pPr>
        <w:pStyle w:val="Normal"/>
        <w:jc w:val="center"/>
        <w:rPr>
          <w:rFonts w:ascii="Tahoma" w:hAnsi="Tahoma" w:cs="Tahoma"/>
          <w:b/>
          <w:b/>
          <w:sz w:val="28"/>
          <w:szCs w:val="28"/>
          <w:u w:val="single"/>
        </w:rPr>
      </w:pPr>
      <w:r>
        <w:rPr>
          <w:rFonts w:cs="Tahoma" w:ascii="Tahoma" w:hAnsi="Tahoma"/>
          <w:b/>
          <w:sz w:val="28"/>
          <w:szCs w:val="28"/>
          <w:u w:val="single"/>
        </w:rPr>
        <w:t>Referat Drogownictwa</w:t>
      </w:r>
    </w:p>
    <w:p>
      <w:pPr>
        <w:pStyle w:val="Normal"/>
        <w:rPr>
          <w:rFonts w:ascii="Tahoma" w:hAnsi="Tahoma" w:cs="Tahoma"/>
          <w:b/>
          <w:b/>
        </w:rPr>
      </w:pPr>
      <w:r>
        <w:rPr>
          <w:rFonts w:cs="Tahoma" w:ascii="Tahoma" w:hAnsi="Tahoma"/>
          <w:b/>
        </w:rPr>
      </w:r>
    </w:p>
    <w:p>
      <w:pPr>
        <w:pStyle w:val="Normal"/>
        <w:rPr>
          <w:rFonts w:ascii="Tahoma" w:hAnsi="Tahoma" w:cs="Tahoma"/>
          <w:b/>
          <w:b/>
        </w:rPr>
      </w:pPr>
      <w:r>
        <w:rPr>
          <w:rFonts w:cs="Tahoma" w:ascii="Tahoma" w:hAnsi="Tahoma"/>
          <w:b/>
        </w:rPr>
      </w:r>
    </w:p>
    <w:p>
      <w:pPr>
        <w:pStyle w:val="Normal"/>
        <w:rPr>
          <w:rFonts w:ascii="Tahoma" w:hAnsi="Tahoma" w:cs="Tahoma"/>
          <w:b/>
          <w:b/>
        </w:rPr>
      </w:pPr>
      <w:r>
        <w:rPr>
          <w:rFonts w:cs="Tahoma" w:ascii="Tahoma" w:hAnsi="Tahoma"/>
          <w:b/>
        </w:rPr>
      </w:r>
    </w:p>
    <w:p>
      <w:pPr>
        <w:pStyle w:val="Normal"/>
        <w:tabs>
          <w:tab w:val="left" w:pos="400" w:leader="none"/>
        </w:tabs>
        <w:jc w:val="both"/>
        <w:rPr>
          <w:rFonts w:ascii="Tahoma" w:hAnsi="Tahoma" w:cs="Tahoma"/>
          <w:b/>
          <w:b/>
        </w:rPr>
      </w:pPr>
      <w:r>
        <w:rPr>
          <w:rFonts w:cs="Tahoma" w:ascii="Tahoma" w:hAnsi="Tahoma"/>
          <w:b/>
        </w:rPr>
        <w:t>I. Konserwacja odcinków dróg:</w:t>
      </w:r>
    </w:p>
    <w:p>
      <w:pPr>
        <w:pStyle w:val="Normal"/>
        <w:jc w:val="both"/>
        <w:rPr>
          <w:rFonts w:ascii="Tahoma" w:hAnsi="Tahoma" w:cs="Tahoma"/>
        </w:rPr>
      </w:pPr>
      <w:r>
        <w:rPr>
          <w:rFonts w:cs="Tahoma" w:ascii="Tahoma" w:hAnsi="Tahoma"/>
        </w:rPr>
        <w:t>1. Droga wewnętrzna dz. 149 w msc. Redy.</w:t>
      </w:r>
    </w:p>
    <w:p>
      <w:pPr>
        <w:pStyle w:val="Normal"/>
        <w:jc w:val="both"/>
        <w:rPr>
          <w:rFonts w:ascii="Tahoma" w:hAnsi="Tahoma" w:cs="Tahoma"/>
        </w:rPr>
      </w:pPr>
      <w:r>
        <w:rPr>
          <w:rFonts w:cs="Tahoma" w:ascii="Tahoma" w:hAnsi="Tahoma"/>
        </w:rPr>
        <w:t>2. Droga wewnętrzna dz. nr 92/1 w msc. Kierz.</w:t>
      </w:r>
    </w:p>
    <w:p>
      <w:pPr>
        <w:pStyle w:val="Normal"/>
        <w:jc w:val="both"/>
        <w:rPr>
          <w:rFonts w:ascii="Tahoma" w:hAnsi="Tahoma" w:cs="Tahoma"/>
        </w:rPr>
      </w:pPr>
      <w:r>
        <w:rPr>
          <w:rFonts w:cs="Tahoma" w:ascii="Tahoma" w:hAnsi="Tahoma"/>
        </w:rPr>
        <w:t>3. Droga publiczna nr 117004 N Kaszuny – gr. gminy</w:t>
      </w:r>
    </w:p>
    <w:p>
      <w:pPr>
        <w:pStyle w:val="Normal"/>
        <w:jc w:val="both"/>
        <w:rPr>
          <w:rFonts w:ascii="Tahoma" w:hAnsi="Tahoma" w:cs="Tahoma"/>
        </w:rPr>
      </w:pPr>
      <w:r>
        <w:rPr>
          <w:rFonts w:cs="Tahoma" w:ascii="Tahoma" w:hAnsi="Tahoma"/>
        </w:rPr>
        <w:t>4. Droga wewnętrzna dz. nr 165/3 w msc. Kaszuny.</w:t>
      </w:r>
    </w:p>
    <w:p>
      <w:pPr>
        <w:pStyle w:val="Normal"/>
        <w:jc w:val="both"/>
        <w:rPr>
          <w:rFonts w:ascii="Tahoma" w:hAnsi="Tahoma" w:cs="Tahoma"/>
        </w:rPr>
      </w:pPr>
      <w:r>
        <w:rPr>
          <w:rFonts w:cs="Tahoma" w:ascii="Tahoma" w:hAnsi="Tahoma"/>
        </w:rPr>
        <w:t>5 Droga wewnętrzna dz. nr 130 w msc. Medyny.</w:t>
      </w:r>
    </w:p>
    <w:p>
      <w:pPr>
        <w:pStyle w:val="Normal"/>
        <w:jc w:val="both"/>
        <w:rPr>
          <w:rFonts w:ascii="Tahoma" w:hAnsi="Tahoma" w:cs="Tahoma"/>
        </w:rPr>
      </w:pPr>
      <w:r>
        <w:rPr>
          <w:rFonts w:cs="Tahoma" w:ascii="Tahoma" w:hAnsi="Tahoma"/>
        </w:rPr>
        <w:t>6. Droga wewnętrzna dz. nr 129 w msc. Medyny.</w:t>
      </w:r>
    </w:p>
    <w:p>
      <w:pPr>
        <w:pStyle w:val="Normal"/>
        <w:jc w:val="both"/>
        <w:rPr>
          <w:rFonts w:ascii="Tahoma" w:hAnsi="Tahoma" w:cs="Tahoma"/>
        </w:rPr>
      </w:pPr>
      <w:r>
        <w:rPr>
          <w:rFonts w:cs="Tahoma" w:ascii="Tahoma" w:hAnsi="Tahoma"/>
        </w:rPr>
        <w:t xml:space="preserve">7. Droga publiczna nr 117026 N DW 513 – Sarnowo. </w:t>
      </w:r>
    </w:p>
    <w:p>
      <w:pPr>
        <w:pStyle w:val="Normal"/>
        <w:jc w:val="both"/>
        <w:rPr>
          <w:rFonts w:ascii="Tahoma" w:hAnsi="Tahoma" w:cs="Tahoma"/>
        </w:rPr>
      </w:pPr>
      <w:r>
        <w:rPr>
          <w:rFonts w:cs="Tahoma" w:ascii="Tahoma" w:hAnsi="Tahoma"/>
        </w:rPr>
        <w:t>8. Droga wewnętrzna dz. nr 2/34 w msc. Koniewo osada.</w:t>
      </w:r>
    </w:p>
    <w:p>
      <w:pPr>
        <w:pStyle w:val="Normal"/>
        <w:jc w:val="both"/>
        <w:rPr>
          <w:rFonts w:ascii="Tahoma" w:hAnsi="Tahoma" w:cs="Tahoma"/>
        </w:rPr>
      </w:pPr>
      <w:r>
        <w:rPr>
          <w:rFonts w:cs="Tahoma" w:ascii="Tahoma" w:hAnsi="Tahoma"/>
        </w:rPr>
        <w:t>9. Droga wewnętrzna dz. nr 377 w msc. Rogóż.</w:t>
      </w:r>
    </w:p>
    <w:p>
      <w:pPr>
        <w:pStyle w:val="Normal"/>
        <w:jc w:val="both"/>
        <w:rPr>
          <w:rFonts w:ascii="Tahoma" w:hAnsi="Tahoma" w:cs="Tahoma"/>
        </w:rPr>
      </w:pPr>
      <w:r>
        <w:rPr>
          <w:rFonts w:cs="Tahoma" w:ascii="Tahoma" w:hAnsi="Tahoma"/>
        </w:rPr>
        <w:t>10. Droga wewnętrzna dz. nr 394 w msc. Rogóż.</w:t>
      </w:r>
    </w:p>
    <w:p>
      <w:pPr>
        <w:pStyle w:val="Normal"/>
        <w:jc w:val="both"/>
        <w:rPr>
          <w:rFonts w:ascii="Tahoma" w:hAnsi="Tahoma" w:cs="Tahoma"/>
        </w:rPr>
      </w:pPr>
      <w:r>
        <w:rPr>
          <w:rFonts w:cs="Tahoma" w:ascii="Tahoma" w:hAnsi="Tahoma"/>
        </w:rPr>
        <w:t>11. Droga publiczna nr 117032 N dz. nr 376/2 w msc. Rogóż.</w:t>
      </w:r>
    </w:p>
    <w:p>
      <w:pPr>
        <w:pStyle w:val="Normal"/>
        <w:jc w:val="both"/>
        <w:rPr>
          <w:rFonts w:ascii="Tahoma" w:hAnsi="Tahoma" w:cs="Tahoma"/>
        </w:rPr>
      </w:pPr>
      <w:r>
        <w:rPr>
          <w:rFonts w:cs="Tahoma" w:ascii="Tahoma" w:hAnsi="Tahoma"/>
        </w:rPr>
        <w:t>12. Droga publiczna nr 117024 N Rogóż – Napraty.</w:t>
      </w:r>
    </w:p>
    <w:p>
      <w:pPr>
        <w:pStyle w:val="Normal"/>
        <w:jc w:val="both"/>
        <w:rPr>
          <w:rFonts w:ascii="Tahoma" w:hAnsi="Tahoma" w:cs="Tahoma"/>
        </w:rPr>
      </w:pPr>
      <w:r>
        <w:rPr>
          <w:rFonts w:cs="Tahoma" w:ascii="Tahoma" w:hAnsi="Tahoma"/>
        </w:rPr>
        <w:t>13. Droga wewnętrzna dz. nr 388/1 w msc. Wojdyty.</w:t>
      </w:r>
    </w:p>
    <w:p>
      <w:pPr>
        <w:pStyle w:val="Normal"/>
        <w:jc w:val="both"/>
        <w:rPr>
          <w:rFonts w:ascii="Tahoma" w:hAnsi="Tahoma" w:cs="Tahoma"/>
        </w:rPr>
      </w:pPr>
      <w:r>
        <w:rPr>
          <w:rFonts w:cs="Tahoma" w:ascii="Tahoma" w:hAnsi="Tahoma"/>
        </w:rPr>
        <w:t>14. Droga wewnętrzna dz. nr 128/1 w msc. Nowosady.</w:t>
      </w:r>
    </w:p>
    <w:p>
      <w:pPr>
        <w:pStyle w:val="Normal"/>
        <w:jc w:val="both"/>
        <w:rPr>
          <w:rFonts w:ascii="Tahoma" w:hAnsi="Tahoma" w:cs="Tahoma"/>
        </w:rPr>
      </w:pPr>
      <w:r>
        <w:rPr>
          <w:rFonts w:cs="Tahoma" w:ascii="Tahoma" w:hAnsi="Tahoma"/>
        </w:rPr>
        <w:t>15. Droga publiczna nr 117017 N DK 51 – Nowosady.</w:t>
      </w:r>
    </w:p>
    <w:p>
      <w:pPr>
        <w:pStyle w:val="Normal"/>
        <w:jc w:val="both"/>
        <w:rPr>
          <w:rFonts w:ascii="Tahoma" w:hAnsi="Tahoma" w:cs="Tahoma"/>
        </w:rPr>
      </w:pPr>
      <w:r>
        <w:rPr>
          <w:rFonts w:cs="Tahoma" w:ascii="Tahoma" w:hAnsi="Tahoma"/>
        </w:rPr>
        <w:t xml:space="preserve">16. Droga publiczna nr 117005 N DW 513 – Workiejmy. </w:t>
      </w:r>
    </w:p>
    <w:p>
      <w:pPr>
        <w:pStyle w:val="Normal"/>
        <w:jc w:val="both"/>
        <w:rPr>
          <w:rFonts w:ascii="Tahoma" w:hAnsi="Tahoma" w:cs="Tahoma"/>
        </w:rPr>
      </w:pPr>
      <w:r>
        <w:rPr>
          <w:rFonts w:cs="Tahoma" w:ascii="Tahoma" w:hAnsi="Tahoma"/>
        </w:rPr>
        <w:t>17. Droga publiczna nr 117012 N Ignalin – Bobrownik.</w:t>
      </w:r>
    </w:p>
    <w:p>
      <w:pPr>
        <w:pStyle w:val="Normal"/>
        <w:jc w:val="both"/>
        <w:rPr>
          <w:rFonts w:ascii="Tahoma" w:hAnsi="Tahoma" w:cs="Tahoma"/>
        </w:rPr>
      </w:pPr>
      <w:r>
        <w:rPr>
          <w:rFonts w:cs="Tahoma" w:ascii="Tahoma" w:hAnsi="Tahoma"/>
        </w:rPr>
        <w:t>18. Droga wewnętrzna dz. nr 140/1 w msc. Miejska Wola.</w:t>
      </w:r>
    </w:p>
    <w:p>
      <w:pPr>
        <w:pStyle w:val="Normal"/>
        <w:jc w:val="both"/>
        <w:rPr>
          <w:rFonts w:ascii="Tahoma" w:hAnsi="Tahoma" w:cs="Tahoma"/>
        </w:rPr>
      </w:pPr>
      <w:r>
        <w:rPr>
          <w:rFonts w:cs="Tahoma" w:ascii="Tahoma" w:hAnsi="Tahoma"/>
        </w:rPr>
        <w:t>19. Droga publiczna nr 117009 N Runowo – Łaniewo.</w:t>
      </w:r>
    </w:p>
    <w:p>
      <w:pPr>
        <w:pStyle w:val="Normal"/>
        <w:jc w:val="both"/>
        <w:rPr>
          <w:rFonts w:ascii="Tahoma" w:hAnsi="Tahoma" w:cs="Tahoma"/>
        </w:rPr>
      </w:pPr>
      <w:r>
        <w:rPr>
          <w:rFonts w:cs="Tahoma" w:ascii="Tahoma" w:hAnsi="Tahoma"/>
        </w:rPr>
        <w:t xml:space="preserve">20. Droga wewnętrzna dz. nr 157/2 w msc. Lauda. </w:t>
      </w:r>
    </w:p>
    <w:p>
      <w:pPr>
        <w:pStyle w:val="Normal"/>
        <w:jc w:val="both"/>
        <w:rPr>
          <w:rFonts w:ascii="Tahoma" w:hAnsi="Tahoma" w:cs="Tahoma"/>
        </w:rPr>
      </w:pPr>
      <w:r>
        <w:rPr>
          <w:rFonts w:cs="Tahoma" w:ascii="Tahoma" w:hAnsi="Tahoma"/>
        </w:rPr>
        <w:t>21. Droga publiczna nr 117025 N Knipy-Napraty.</w:t>
      </w:r>
    </w:p>
    <w:p>
      <w:pPr>
        <w:pStyle w:val="Normal"/>
        <w:jc w:val="both"/>
        <w:rPr>
          <w:rFonts w:ascii="Tahoma" w:hAnsi="Tahoma" w:cs="Tahoma"/>
        </w:rPr>
      </w:pPr>
      <w:r>
        <w:rPr>
          <w:rFonts w:cs="Tahoma" w:ascii="Tahoma" w:hAnsi="Tahoma"/>
        </w:rPr>
        <w:t>22. Droga wewnętrzna dz. nr 271 w msc. Knipy.</w:t>
      </w:r>
    </w:p>
    <w:p>
      <w:pPr>
        <w:pStyle w:val="Normal"/>
        <w:jc w:val="both"/>
        <w:rPr>
          <w:rFonts w:ascii="Tahoma" w:hAnsi="Tahoma" w:cs="Tahoma"/>
        </w:rPr>
      </w:pPr>
      <w:r>
        <w:rPr>
          <w:rFonts w:cs="Tahoma" w:ascii="Tahoma" w:hAnsi="Tahoma"/>
        </w:rPr>
        <w:t>23. Droga wewnętrzna dz. nr 161/1 i 162 w msc. Kaszuny.</w:t>
      </w:r>
    </w:p>
    <w:p>
      <w:pPr>
        <w:pStyle w:val="Normal"/>
        <w:jc w:val="both"/>
        <w:rPr>
          <w:rFonts w:ascii="Tahoma" w:hAnsi="Tahoma" w:cs="Tahoma"/>
        </w:rPr>
      </w:pPr>
      <w:r>
        <w:rPr>
          <w:rFonts w:cs="Tahoma" w:ascii="Tahoma" w:hAnsi="Tahoma"/>
        </w:rPr>
        <w:t>24. Droga wewnętrzna dz. nr 165/3 i 159/2 w msc. Kaszuny.</w:t>
      </w:r>
    </w:p>
    <w:p>
      <w:pPr>
        <w:pStyle w:val="Normal"/>
        <w:jc w:val="both"/>
        <w:rPr>
          <w:rFonts w:ascii="Tahoma" w:hAnsi="Tahoma" w:cs="Tahoma"/>
        </w:rPr>
      </w:pPr>
      <w:r>
        <w:rPr>
          <w:rFonts w:cs="Tahoma" w:ascii="Tahoma" w:hAnsi="Tahoma"/>
        </w:rPr>
        <w:t>25. Droga wewnętrzna dz. nr 152/1  w msc. Kaszuny.</w:t>
      </w:r>
    </w:p>
    <w:p>
      <w:pPr>
        <w:pStyle w:val="Normal"/>
        <w:jc w:val="both"/>
        <w:rPr>
          <w:rFonts w:ascii="Tahoma" w:hAnsi="Tahoma" w:cs="Tahoma"/>
        </w:rPr>
      </w:pPr>
      <w:r>
        <w:rPr>
          <w:rFonts w:cs="Tahoma" w:ascii="Tahoma" w:hAnsi="Tahoma"/>
        </w:rPr>
        <w:t xml:space="preserve">26. Droga publiczna nr 117001 N DW 513 – Drwęca. </w:t>
      </w:r>
    </w:p>
    <w:p>
      <w:pPr>
        <w:pStyle w:val="Normal"/>
        <w:jc w:val="both"/>
        <w:rPr>
          <w:rFonts w:ascii="Tahoma" w:hAnsi="Tahoma" w:cs="Tahoma"/>
        </w:rPr>
      </w:pPr>
      <w:r>
        <w:rPr>
          <w:rFonts w:cs="Tahoma" w:ascii="Tahoma" w:hAnsi="Tahoma"/>
        </w:rPr>
        <w:t>27. Droga wewnętrzna dz. nr 363/1 w msc. Runowo.</w:t>
      </w:r>
    </w:p>
    <w:p>
      <w:pPr>
        <w:pStyle w:val="Normal"/>
        <w:jc w:val="both"/>
        <w:rPr>
          <w:rFonts w:ascii="Tahoma" w:hAnsi="Tahoma" w:cs="Tahoma"/>
        </w:rPr>
      </w:pPr>
      <w:r>
        <w:rPr>
          <w:rFonts w:cs="Tahoma" w:ascii="Tahoma" w:hAnsi="Tahoma"/>
        </w:rPr>
        <w:t>28. Droga wewnętrzna dz. nr 351/3 w msc. Runowo.</w:t>
      </w:r>
    </w:p>
    <w:p>
      <w:pPr>
        <w:pStyle w:val="Normal"/>
        <w:jc w:val="both"/>
        <w:rPr>
          <w:rFonts w:ascii="Tahoma" w:hAnsi="Tahoma" w:cs="Tahoma"/>
        </w:rPr>
      </w:pPr>
      <w:r>
        <w:rPr>
          <w:rFonts w:cs="Tahoma" w:ascii="Tahoma" w:hAnsi="Tahoma"/>
        </w:rPr>
        <w:t>29. Droga wewnętrzna dz. nr 337 w msc. Runowo.</w:t>
      </w:r>
    </w:p>
    <w:p>
      <w:pPr>
        <w:pStyle w:val="Normal"/>
        <w:jc w:val="both"/>
        <w:rPr>
          <w:rFonts w:ascii="Tahoma" w:hAnsi="Tahoma" w:cs="Tahoma"/>
        </w:rPr>
      </w:pPr>
      <w:r>
        <w:rPr>
          <w:rFonts w:cs="Tahoma" w:ascii="Tahoma" w:hAnsi="Tahoma"/>
        </w:rPr>
        <w:t>30. Droga wewnętrzna dz. nr 471/2 i 471/1 w msc. Runowo.</w:t>
      </w:r>
    </w:p>
    <w:p>
      <w:pPr>
        <w:pStyle w:val="Normal"/>
        <w:jc w:val="both"/>
        <w:rPr>
          <w:rFonts w:ascii="Tahoma" w:hAnsi="Tahoma" w:cs="Tahoma"/>
        </w:rPr>
      </w:pPr>
      <w:r>
        <w:rPr>
          <w:rFonts w:cs="Tahoma" w:ascii="Tahoma" w:hAnsi="Tahoma"/>
        </w:rPr>
        <w:t>31. Droga wewnętrzna dz. nr 117/1 w msc. Runowo.</w:t>
      </w:r>
    </w:p>
    <w:p>
      <w:pPr>
        <w:pStyle w:val="Normal"/>
        <w:jc w:val="both"/>
        <w:rPr>
          <w:rFonts w:ascii="Tahoma" w:hAnsi="Tahoma" w:cs="Tahoma"/>
        </w:rPr>
      </w:pPr>
      <w:r>
        <w:rPr>
          <w:rFonts w:cs="Tahoma" w:ascii="Tahoma" w:hAnsi="Tahoma"/>
        </w:rPr>
        <w:t xml:space="preserve">32. Droga publiczna nr 117006 N Runowo – Workiejmy. </w:t>
      </w:r>
    </w:p>
    <w:p>
      <w:pPr>
        <w:pStyle w:val="Normal"/>
        <w:jc w:val="both"/>
        <w:rPr>
          <w:rFonts w:ascii="Tahoma" w:hAnsi="Tahoma" w:cs="Tahoma"/>
        </w:rPr>
      </w:pPr>
      <w:r>
        <w:rPr>
          <w:rFonts w:cs="Tahoma" w:ascii="Tahoma" w:hAnsi="Tahoma"/>
        </w:rPr>
      </w:r>
    </w:p>
    <w:p>
      <w:pPr>
        <w:pStyle w:val="Normal"/>
        <w:jc w:val="both"/>
        <w:rPr>
          <w:rFonts w:ascii="Tahoma" w:hAnsi="Tahoma" w:cs="Tahoma"/>
          <w:b/>
          <w:b/>
        </w:rPr>
      </w:pPr>
      <w:r>
        <w:rPr>
          <w:rFonts w:cs="Tahoma" w:ascii="Tahoma" w:hAnsi="Tahoma"/>
          <w:b/>
        </w:rPr>
        <w:t>II. Profilowanie dróg:</w:t>
      </w:r>
    </w:p>
    <w:p>
      <w:pPr>
        <w:pStyle w:val="Normal"/>
        <w:jc w:val="both"/>
        <w:rPr>
          <w:rFonts w:ascii="Tahoma" w:hAnsi="Tahoma" w:cs="Tahoma"/>
        </w:rPr>
      </w:pPr>
      <w:r>
        <w:rPr>
          <w:rFonts w:cs="Tahoma" w:ascii="Tahoma" w:hAnsi="Tahoma"/>
        </w:rPr>
        <w:t>1. Droga publiczna nr 117025 N DK 51-Knipy</w:t>
      </w:r>
    </w:p>
    <w:p>
      <w:pPr>
        <w:pStyle w:val="Normal"/>
        <w:jc w:val="both"/>
        <w:rPr>
          <w:rFonts w:ascii="Tahoma" w:hAnsi="Tahoma" w:cs="Tahoma"/>
        </w:rPr>
      </w:pPr>
      <w:r>
        <w:rPr>
          <w:rFonts w:cs="Tahoma" w:ascii="Tahoma" w:hAnsi="Tahoma"/>
        </w:rPr>
        <w:t>2. Droga publiczna nr 117007 N Lauda – Redy</w:t>
      </w:r>
    </w:p>
    <w:p>
      <w:pPr>
        <w:pStyle w:val="Normal"/>
        <w:jc w:val="both"/>
        <w:rPr>
          <w:rFonts w:ascii="Tahoma" w:hAnsi="Tahoma" w:cs="Tahoma"/>
        </w:rPr>
      </w:pPr>
      <w:r>
        <w:rPr>
          <w:rFonts w:cs="Tahoma" w:ascii="Tahoma" w:hAnsi="Tahoma"/>
        </w:rPr>
        <w:t xml:space="preserve">3. Droga publiczna nr 117008 N Redy – Nowa Wieś Wielka </w:t>
      </w:r>
    </w:p>
    <w:p>
      <w:pPr>
        <w:pStyle w:val="Normal"/>
        <w:jc w:val="both"/>
        <w:rPr>
          <w:rFonts w:ascii="Tahoma" w:hAnsi="Tahoma" w:cs="Tahoma"/>
        </w:rPr>
      </w:pPr>
      <w:r>
        <w:rPr>
          <w:rFonts w:cs="Tahoma" w:ascii="Tahoma" w:hAnsi="Tahoma"/>
        </w:rPr>
      </w:r>
    </w:p>
    <w:p>
      <w:pPr>
        <w:pStyle w:val="Normal"/>
        <w:jc w:val="both"/>
        <w:rPr>
          <w:rFonts w:ascii="Tahoma" w:hAnsi="Tahoma" w:cs="Tahoma"/>
          <w:b/>
          <w:b/>
        </w:rPr>
      </w:pPr>
      <w:r>
        <w:rPr>
          <w:rFonts w:cs="Tahoma" w:ascii="Tahoma" w:hAnsi="Tahoma"/>
          <w:b/>
        </w:rPr>
        <w:t>III. Wmontowane przepusty:</w:t>
      </w:r>
    </w:p>
    <w:p>
      <w:pPr>
        <w:pStyle w:val="Normal"/>
        <w:jc w:val="both"/>
        <w:rPr>
          <w:rFonts w:ascii="Tahoma" w:hAnsi="Tahoma" w:cs="Tahoma"/>
        </w:rPr>
      </w:pPr>
      <w:r>
        <w:rPr>
          <w:rFonts w:cs="Tahoma" w:ascii="Tahoma" w:hAnsi="Tahoma"/>
        </w:rPr>
        <w:t xml:space="preserve">1. Droga publiczna nr 117009 N dz. nr 10  w msc. Łaniewo  – Ø 400 mm  12 mb. </w:t>
      </w:r>
    </w:p>
    <w:p>
      <w:pPr>
        <w:pStyle w:val="Normal"/>
        <w:jc w:val="both"/>
        <w:rPr>
          <w:rFonts w:ascii="Tahoma" w:hAnsi="Tahoma" w:cs="Tahoma"/>
        </w:rPr>
      </w:pPr>
      <w:r>
        <w:rPr>
          <w:rFonts w:cs="Tahoma" w:ascii="Tahoma" w:hAnsi="Tahoma"/>
        </w:rPr>
        <w:t>2. Droga publiczna nr 117003 N dz. nr 165/3 w msc. Babiak – Ø 600 mm  6 mb.</w:t>
      </w:r>
    </w:p>
    <w:p>
      <w:pPr>
        <w:pStyle w:val="Normal"/>
        <w:jc w:val="both"/>
        <w:rPr>
          <w:rFonts w:ascii="Tahoma" w:hAnsi="Tahoma" w:cs="Tahoma"/>
        </w:rPr>
      </w:pPr>
      <w:r>
        <w:rPr>
          <w:rFonts w:cs="Tahoma" w:ascii="Tahoma" w:hAnsi="Tahoma"/>
        </w:rPr>
        <w:t xml:space="preserve">3. Droga publiczna nr 117009 N dz. nr 347/1 w msc. Runowo – Ø 200 mm  6 mb x 2. </w:t>
      </w:r>
    </w:p>
    <w:p>
      <w:pPr>
        <w:pStyle w:val="Normal"/>
        <w:jc w:val="both"/>
        <w:rPr>
          <w:rFonts w:ascii="Tahoma" w:hAnsi="Tahoma" w:cs="Tahoma"/>
        </w:rPr>
      </w:pPr>
      <w:r>
        <w:rPr>
          <w:rFonts w:cs="Tahoma" w:ascii="Tahoma" w:hAnsi="Tahoma"/>
        </w:rPr>
        <w:t>4. Droga publiczna nr 117011 N dz. nr 239/1 w msc. Ignalin – Ø 200 mm  9 mb.</w:t>
      </w:r>
    </w:p>
    <w:p>
      <w:pPr>
        <w:pStyle w:val="Normal"/>
        <w:jc w:val="both"/>
        <w:rPr>
          <w:rFonts w:ascii="Tahoma" w:hAnsi="Tahoma" w:cs="Tahoma"/>
        </w:rPr>
      </w:pPr>
      <w:r>
        <w:rPr>
          <w:rFonts w:cs="Tahoma" w:ascii="Tahoma" w:hAnsi="Tahoma"/>
        </w:rPr>
      </w:r>
    </w:p>
    <w:p>
      <w:pPr>
        <w:pStyle w:val="Normal"/>
        <w:jc w:val="both"/>
        <w:rPr>
          <w:rFonts w:ascii="Tahoma" w:hAnsi="Tahoma" w:cs="Tahoma"/>
          <w:b/>
          <w:b/>
        </w:rPr>
      </w:pPr>
      <w:r>
        <w:rPr>
          <w:rFonts w:cs="Tahoma" w:ascii="Tahoma" w:hAnsi="Tahoma"/>
          <w:b/>
        </w:rPr>
        <w:t>IV. Prace dodatkowe:</w:t>
      </w:r>
    </w:p>
    <w:p>
      <w:pPr>
        <w:pStyle w:val="Normal"/>
        <w:jc w:val="both"/>
        <w:rPr>
          <w:rFonts w:ascii="Tahoma" w:hAnsi="Tahoma" w:cs="Tahoma"/>
        </w:rPr>
      </w:pPr>
      <w:r>
        <w:rPr>
          <w:rFonts w:cs="Tahoma" w:ascii="Tahoma" w:hAnsi="Tahoma"/>
        </w:rPr>
        <w:t xml:space="preserve">1. Prace przy wykonaniu przydomowej oczyszczalni ścieków w msc. Kierz. </w:t>
      </w:r>
    </w:p>
    <w:p>
      <w:pPr>
        <w:pStyle w:val="Normal"/>
        <w:jc w:val="both"/>
        <w:rPr>
          <w:rFonts w:ascii="Tahoma" w:hAnsi="Tahoma" w:cs="Tahoma"/>
        </w:rPr>
      </w:pPr>
      <w:r>
        <w:rPr>
          <w:rFonts w:cs="Tahoma" w:ascii="Tahoma" w:hAnsi="Tahoma"/>
        </w:rPr>
        <w:t xml:space="preserve">2. Zbieranie poboczy przy drodze wewnętrznej dz. nr 102 w msc. Kraszewo. </w:t>
      </w:r>
    </w:p>
    <w:p>
      <w:pPr>
        <w:pStyle w:val="Normal"/>
        <w:jc w:val="both"/>
        <w:rPr>
          <w:rFonts w:ascii="Tahoma" w:hAnsi="Tahoma" w:cs="Tahoma"/>
        </w:rPr>
      </w:pPr>
      <w:r>
        <w:rPr>
          <w:rFonts w:cs="Tahoma" w:ascii="Tahoma" w:hAnsi="Tahoma"/>
        </w:rPr>
        <w:t>3. Prace na rzecz Ref. GKiB.</w:t>
      </w:r>
    </w:p>
    <w:p>
      <w:pPr>
        <w:pStyle w:val="Normal"/>
        <w:jc w:val="both"/>
        <w:rPr>
          <w:rFonts w:ascii="Tahoma" w:hAnsi="Tahoma" w:cs="Tahoma"/>
        </w:rPr>
      </w:pPr>
      <w:r>
        <w:rPr>
          <w:rFonts w:cs="Tahoma" w:ascii="Tahoma" w:hAnsi="Tahoma"/>
        </w:rPr>
        <w:t>4. Naprawa oczyszczalni ścieków przy budynku gminnym Stabunity 1.</w:t>
      </w:r>
    </w:p>
    <w:p>
      <w:pPr>
        <w:pStyle w:val="Normal"/>
        <w:jc w:val="both"/>
        <w:rPr>
          <w:rFonts w:ascii="Tahoma" w:hAnsi="Tahoma" w:cs="Tahoma"/>
        </w:rPr>
      </w:pPr>
      <w:r>
        <w:rPr>
          <w:rFonts w:cs="Tahoma" w:ascii="Tahoma" w:hAnsi="Tahoma"/>
        </w:rPr>
        <w:t>5. Zbieranie poboczy przy drodze publicznej nr 117009 N dz. nr 10 w msc. Łaniewo.</w:t>
      </w:r>
    </w:p>
    <w:p>
      <w:pPr>
        <w:pStyle w:val="Normal"/>
        <w:jc w:val="both"/>
        <w:rPr>
          <w:rFonts w:ascii="Tahoma" w:hAnsi="Tahoma" w:cs="Tahoma"/>
        </w:rPr>
      </w:pPr>
      <w:r>
        <w:rPr>
          <w:rFonts w:cs="Tahoma" w:ascii="Tahoma" w:hAnsi="Tahoma"/>
        </w:rPr>
        <w:t>6. Wycinka przydrożnych zakrzaczeń przy drodze publicznej nr 117016 N Pilnik – Nowosady.</w:t>
      </w:r>
    </w:p>
    <w:p>
      <w:pPr>
        <w:pStyle w:val="Normal"/>
        <w:jc w:val="both"/>
        <w:rPr>
          <w:rFonts w:ascii="Tahoma" w:hAnsi="Tahoma" w:cs="Tahoma"/>
        </w:rPr>
      </w:pPr>
      <w:r>
        <w:rPr>
          <w:rFonts w:cs="Tahoma" w:ascii="Tahoma" w:hAnsi="Tahoma"/>
        </w:rPr>
        <w:t>7. Wycinka drzew na działce gminnej nr 28/48 w msc. Medyny.</w:t>
      </w:r>
    </w:p>
    <w:p>
      <w:pPr>
        <w:pStyle w:val="Normal"/>
        <w:jc w:val="both"/>
        <w:rPr>
          <w:rFonts w:ascii="Tahoma" w:hAnsi="Tahoma" w:cs="Tahoma"/>
        </w:rPr>
      </w:pPr>
      <w:r>
        <w:rPr>
          <w:rFonts w:cs="Tahoma" w:ascii="Tahoma" w:hAnsi="Tahoma"/>
        </w:rPr>
        <w:t>8. Dowóz materiału na rzecz wsi Żytowo.</w:t>
      </w:r>
    </w:p>
    <w:p>
      <w:pPr>
        <w:pStyle w:val="Normal"/>
        <w:jc w:val="both"/>
        <w:rPr>
          <w:rFonts w:ascii="Tahoma" w:hAnsi="Tahoma" w:cs="Tahoma"/>
        </w:rPr>
      </w:pPr>
      <w:r>
        <w:rPr>
          <w:rFonts w:cs="Tahoma" w:ascii="Tahoma" w:hAnsi="Tahoma"/>
        </w:rPr>
        <w:t xml:space="preserve">9. Dowóz materiału na rzecz wsi Pomorowo. </w:t>
      </w:r>
    </w:p>
    <w:p>
      <w:pPr>
        <w:pStyle w:val="Normal"/>
        <w:jc w:val="both"/>
        <w:rPr>
          <w:rFonts w:ascii="Tahoma" w:hAnsi="Tahoma" w:cs="Tahoma"/>
        </w:rPr>
      </w:pPr>
      <w:r>
        <w:rPr>
          <w:rFonts w:cs="Tahoma" w:ascii="Tahoma" w:hAnsi="Tahoma"/>
        </w:rPr>
        <w:t xml:space="preserve">10. Przewóz nieodpłatnie pozyskanego materiału do naprawy dróg. </w:t>
      </w:r>
    </w:p>
    <w:p>
      <w:pPr>
        <w:pStyle w:val="Normal"/>
        <w:jc w:val="both"/>
        <w:rPr>
          <w:rFonts w:ascii="Tahoma" w:hAnsi="Tahoma" w:cs="Tahoma"/>
        </w:rPr>
      </w:pPr>
      <w:r>
        <w:rPr>
          <w:rFonts w:cs="Tahoma" w:ascii="Tahoma" w:hAnsi="Tahoma"/>
        </w:rPr>
        <w:t xml:space="preserve">11. Wycinka drzew dz. nr 157/2 w msc. Lauda. </w:t>
      </w:r>
    </w:p>
    <w:p>
      <w:pPr>
        <w:pStyle w:val="Normal"/>
        <w:jc w:val="both"/>
        <w:rPr>
          <w:rFonts w:ascii="Tahoma" w:hAnsi="Tahoma" w:cs="Tahoma"/>
        </w:rPr>
      </w:pPr>
      <w:r>
        <w:rPr>
          <w:rFonts w:cs="Tahoma" w:ascii="Tahoma" w:hAnsi="Tahoma"/>
        </w:rPr>
        <w:t>12. Dowóz materiału na drogę leśną nr 3171/5 w msc. Kaszuny.</w:t>
      </w:r>
    </w:p>
    <w:p>
      <w:pPr>
        <w:pStyle w:val="Normal"/>
        <w:jc w:val="both"/>
        <w:rPr>
          <w:rFonts w:ascii="Tahoma" w:hAnsi="Tahoma" w:cs="Tahoma"/>
        </w:rPr>
      </w:pPr>
      <w:r>
        <w:rPr>
          <w:rFonts w:cs="Tahoma" w:ascii="Tahoma" w:hAnsi="Tahoma"/>
        </w:rPr>
        <w:t>13. Dowóz materiału na drogę wewnętrzną dz. nr 8 w msc. Wielochowo.</w:t>
      </w:r>
    </w:p>
    <w:p>
      <w:pPr>
        <w:pStyle w:val="Normal"/>
        <w:jc w:val="both"/>
        <w:rPr>
          <w:rFonts w:ascii="Tahoma" w:hAnsi="Tahoma" w:cs="Tahoma"/>
        </w:rPr>
      </w:pPr>
      <w:r>
        <w:rPr>
          <w:rFonts w:cs="Tahoma" w:ascii="Tahoma" w:hAnsi="Tahoma"/>
        </w:rPr>
        <w:t xml:space="preserve">14. Dowóz materiału na drogi wewnętrzne dz. nr 68 i 64 w msc. Ignalin. </w:t>
      </w:r>
    </w:p>
    <w:p>
      <w:pPr>
        <w:pStyle w:val="Normal"/>
        <w:jc w:val="both"/>
        <w:rPr>
          <w:rFonts w:ascii="Tahoma" w:hAnsi="Tahoma" w:cs="Tahoma"/>
        </w:rPr>
      </w:pPr>
      <w:r>
        <w:rPr>
          <w:rFonts w:cs="Tahoma" w:ascii="Tahoma" w:hAnsi="Tahoma"/>
        </w:rPr>
        <w:t>15. Prace przy rozładunku jabłek w szkołach gminnych.</w:t>
      </w:r>
    </w:p>
    <w:p>
      <w:pPr>
        <w:pStyle w:val="Normal"/>
        <w:jc w:val="both"/>
        <w:rPr/>
      </w:pPr>
      <w:r>
        <w:rPr>
          <w:rFonts w:cs="Tahoma" w:ascii="Tahoma" w:hAnsi="Tahoma"/>
        </w:rPr>
        <w:t xml:space="preserve">16. Zabranie żużlu z boksów przy Szkole Podstawowej i świetlicy w Rogóżu. </w:t>
      </w:r>
    </w:p>
    <w:p>
      <w:pPr>
        <w:pStyle w:val="Normal"/>
        <w:jc w:val="both"/>
        <w:rPr>
          <w:rFonts w:ascii="Tahoma" w:hAnsi="Tahoma" w:cs="Tahoma"/>
        </w:rPr>
      </w:pPr>
      <w:r>
        <w:rPr>
          <w:rFonts w:cs="Tahoma" w:ascii="Tahoma" w:hAnsi="Tahoma"/>
        </w:rPr>
        <w:t xml:space="preserve">17. Wycinka przydrożnych zakrzaczeń przy drodze publicznej nr 117001 N w msc. Drwęca. </w:t>
      </w:r>
    </w:p>
    <w:p>
      <w:pPr>
        <w:pStyle w:val="Normal"/>
        <w:jc w:val="both"/>
        <w:rPr>
          <w:rFonts w:ascii="Tahoma" w:hAnsi="Tahoma" w:cs="Tahoma"/>
        </w:rPr>
      </w:pPr>
      <w:r>
        <w:rPr>
          <w:rFonts w:cs="Tahoma" w:ascii="Tahoma" w:hAnsi="Tahoma"/>
        </w:rPr>
        <w:t xml:space="preserve">18. Przewóz drewna opałowego przekazanego w ramach pomocy dla mieszkańców gminy Lidzbark Warmiński. </w:t>
      </w:r>
    </w:p>
    <w:p>
      <w:pPr>
        <w:pStyle w:val="Normal"/>
        <w:jc w:val="both"/>
        <w:rPr>
          <w:rFonts w:ascii="Tahoma" w:hAnsi="Tahoma" w:cs="Tahoma"/>
          <w:sz w:val="24"/>
          <w:szCs w:val="24"/>
        </w:rPr>
      </w:pPr>
      <w:r>
        <w:rPr>
          <w:rFonts w:cs="Tahoma" w:ascii="Tahoma" w:hAnsi="Tahoma"/>
          <w:sz w:val="24"/>
          <w:szCs w:val="24"/>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pPr>
      <w:r>
        <w:rPr/>
      </w:r>
    </w:p>
    <w:p>
      <w:pPr>
        <w:pStyle w:val="Normal"/>
        <w:ind w:left="6372" w:right="0" w:firstLine="708"/>
        <w:jc w:val="right"/>
        <w:rPr>
          <w:sz w:val="24"/>
          <w:szCs w:val="24"/>
        </w:rPr>
      </w:pPr>
      <w:r>
        <w:rPr>
          <w:sz w:val="24"/>
          <w:szCs w:val="24"/>
        </w:rPr>
        <w:t>Załącznik nr 13</w:t>
      </w:r>
    </w:p>
    <w:p>
      <w:pPr>
        <w:pStyle w:val="Normal"/>
        <w:ind w:left="6372" w:right="0" w:firstLine="708"/>
        <w:jc w:val="right"/>
        <w:rPr>
          <w:b/>
          <w:b/>
          <w:sz w:val="32"/>
          <w:szCs w:val="32"/>
        </w:rPr>
      </w:pPr>
      <w:r>
        <w:rPr>
          <w:sz w:val="24"/>
          <w:szCs w:val="24"/>
        </w:rPr>
      </w:r>
    </w:p>
    <w:p>
      <w:pPr>
        <w:pStyle w:val="Normal"/>
        <w:widowControl/>
        <w:suppressAutoHyphens w:val="true"/>
        <w:bidi w:val="0"/>
        <w:ind w:left="0" w:right="0" w:hanging="0"/>
        <w:jc w:val="center"/>
        <w:rPr>
          <w:sz w:val="24"/>
          <w:szCs w:val="24"/>
        </w:rPr>
      </w:pPr>
      <w:r>
        <w:rPr>
          <w:b/>
          <w:sz w:val="32"/>
          <w:szCs w:val="32"/>
        </w:rPr>
        <w:t xml:space="preserve">WYKAZ ROBÓT REALIZOWANYCH PRZEZ </w:t>
      </w:r>
    </w:p>
    <w:p>
      <w:pPr>
        <w:pStyle w:val="Normal"/>
        <w:jc w:val="center"/>
        <w:rPr/>
      </w:pPr>
      <w:r>
        <w:rPr>
          <w:b/>
          <w:sz w:val="32"/>
          <w:szCs w:val="32"/>
        </w:rPr>
        <w:t>REFERAT GKiB W OKRESIE OD 11.12.2017R DO 26.02.2018 r.</w:t>
      </w:r>
    </w:p>
    <w:p>
      <w:pPr>
        <w:pStyle w:val="Normal"/>
        <w:jc w:val="both"/>
        <w:rPr>
          <w:color w:val="000000"/>
        </w:rPr>
      </w:pPr>
      <w:r>
        <w:rPr>
          <w:color w:val="000000"/>
        </w:rPr>
      </w:r>
    </w:p>
    <w:p>
      <w:pPr>
        <w:pStyle w:val="Normal"/>
        <w:jc w:val="both"/>
        <w:rPr>
          <w:b/>
          <w:b/>
          <w:sz w:val="28"/>
          <w:szCs w:val="28"/>
        </w:rPr>
      </w:pPr>
      <w:r>
        <w:rPr>
          <w:b/>
          <w:sz w:val="28"/>
          <w:szCs w:val="28"/>
        </w:rPr>
      </w:r>
    </w:p>
    <w:p>
      <w:pPr>
        <w:pStyle w:val="Normal"/>
        <w:jc w:val="both"/>
        <w:rPr/>
      </w:pPr>
      <w:r>
        <w:rPr>
          <w:b/>
          <w:sz w:val="28"/>
          <w:szCs w:val="28"/>
        </w:rPr>
        <w:t xml:space="preserve">1.  </w:t>
      </w:r>
      <w:r>
        <w:rPr>
          <w:b/>
          <w:bCs/>
          <w:sz w:val="28"/>
          <w:szCs w:val="28"/>
        </w:rPr>
        <w:t>Budynek komunalny Bugi 13:</w:t>
      </w:r>
    </w:p>
    <w:p>
      <w:pPr>
        <w:pStyle w:val="Normal"/>
        <w:jc w:val="both"/>
        <w:rPr/>
      </w:pPr>
      <w:r>
        <w:rPr>
          <w:color w:val="FF0000"/>
        </w:rPr>
        <w:t xml:space="preserve">      </w:t>
      </w:r>
      <w:bookmarkStart w:id="1" w:name="_Hlk489003983"/>
      <w:r>
        <w:rPr>
          <w:color w:val="000000"/>
          <w:sz w:val="26"/>
          <w:szCs w:val="26"/>
        </w:rPr>
        <w:t>Uzupełnienie desek przy wejściu na stropie, oraz wzmocnienie konstrukcji podłogi.</w:t>
      </w:r>
    </w:p>
    <w:p>
      <w:pPr>
        <w:pStyle w:val="Normal"/>
        <w:jc w:val="both"/>
        <w:rPr>
          <w:color w:val="000000"/>
          <w:sz w:val="26"/>
          <w:szCs w:val="26"/>
        </w:rPr>
      </w:pPr>
      <w:r>
        <w:rPr>
          <w:color w:val="000000"/>
          <w:sz w:val="26"/>
          <w:szCs w:val="26"/>
        </w:rPr>
      </w:r>
    </w:p>
    <w:p>
      <w:pPr>
        <w:pStyle w:val="Normal"/>
        <w:jc w:val="both"/>
        <w:rPr/>
      </w:pPr>
      <w:r>
        <w:rPr>
          <w:b/>
          <w:bCs/>
          <w:sz w:val="28"/>
          <w:szCs w:val="28"/>
        </w:rPr>
        <w:t>2.  Budynek komunalny Kłębowo 42:</w:t>
      </w:r>
    </w:p>
    <w:p>
      <w:pPr>
        <w:pStyle w:val="Normal"/>
        <w:ind w:left="283" w:hanging="0"/>
        <w:jc w:val="both"/>
        <w:rPr>
          <w:sz w:val="26"/>
          <w:szCs w:val="26"/>
        </w:rPr>
      </w:pPr>
      <w:r>
        <w:rPr>
          <w:sz w:val="26"/>
          <w:szCs w:val="26"/>
        </w:rPr>
        <w:t xml:space="preserve"> </w:t>
      </w:r>
      <w:r>
        <w:rPr>
          <w:sz w:val="26"/>
          <w:szCs w:val="26"/>
        </w:rPr>
        <w:t xml:space="preserve">Zakup i montaż przydomowej oczyszczalni ścieków z podłączeniem instalacji do   </w:t>
        <w:br/>
        <w:t xml:space="preserve"> budynku. </w:t>
      </w:r>
    </w:p>
    <w:p>
      <w:pPr>
        <w:pStyle w:val="Normal"/>
        <w:jc w:val="both"/>
        <w:rPr>
          <w:sz w:val="26"/>
          <w:szCs w:val="26"/>
        </w:rPr>
      </w:pPr>
      <w:r>
        <w:rPr>
          <w:sz w:val="26"/>
          <w:szCs w:val="26"/>
        </w:rPr>
      </w:r>
    </w:p>
    <w:p>
      <w:pPr>
        <w:pStyle w:val="Normal"/>
        <w:jc w:val="both"/>
        <w:rPr/>
      </w:pPr>
      <w:r>
        <w:rPr>
          <w:b/>
          <w:bCs/>
          <w:sz w:val="28"/>
          <w:szCs w:val="28"/>
        </w:rPr>
        <w:t>3.  Budynek komunalny Kierz 8:</w:t>
      </w:r>
    </w:p>
    <w:p>
      <w:pPr>
        <w:pStyle w:val="Normal"/>
        <w:ind w:left="300" w:hanging="0"/>
        <w:jc w:val="both"/>
        <w:rPr>
          <w:sz w:val="26"/>
          <w:szCs w:val="26"/>
        </w:rPr>
      </w:pPr>
      <w:r>
        <w:rPr>
          <w:sz w:val="26"/>
          <w:szCs w:val="26"/>
        </w:rPr>
        <w:t xml:space="preserve">Zakup i montaż przydomowej oczyszczalni ścieków z podłączeniem instalacji do   </w:t>
        <w:br/>
        <w:t xml:space="preserve">budynku. </w:t>
      </w:r>
    </w:p>
    <w:p>
      <w:pPr>
        <w:pStyle w:val="Normal"/>
        <w:jc w:val="both"/>
        <w:rPr>
          <w:b/>
          <w:b/>
          <w:bCs/>
          <w:sz w:val="28"/>
          <w:szCs w:val="28"/>
        </w:rPr>
      </w:pPr>
      <w:r>
        <w:rPr>
          <w:b/>
          <w:bCs/>
          <w:sz w:val="28"/>
          <w:szCs w:val="28"/>
        </w:rPr>
      </w:r>
    </w:p>
    <w:p>
      <w:pPr>
        <w:pStyle w:val="Normal"/>
        <w:jc w:val="both"/>
        <w:rPr/>
      </w:pPr>
      <w:r>
        <w:rPr>
          <w:b/>
          <w:bCs/>
          <w:sz w:val="28"/>
          <w:szCs w:val="28"/>
        </w:rPr>
        <w:t xml:space="preserve">4.  </w:t>
      </w:r>
      <w:bookmarkEnd w:id="1"/>
      <w:r>
        <w:rPr>
          <w:b/>
          <w:bCs/>
          <w:sz w:val="28"/>
          <w:szCs w:val="28"/>
        </w:rPr>
        <w:t>Budynek komunalny Ignalin 8:</w:t>
      </w:r>
    </w:p>
    <w:p>
      <w:pPr>
        <w:pStyle w:val="Normal"/>
        <w:ind w:left="300" w:hanging="0"/>
        <w:jc w:val="both"/>
        <w:rPr/>
      </w:pPr>
      <w:r>
        <w:rPr>
          <w:bCs/>
          <w:sz w:val="26"/>
          <w:szCs w:val="26"/>
        </w:rPr>
        <w:t xml:space="preserve">Wymiana cieknącego kotła C.O., oraz wymiana czopucha stalowego </w:t>
        <w:br/>
        <w:t>i zamontowanie odpowietrzników.</w:t>
      </w:r>
    </w:p>
    <w:p>
      <w:pPr>
        <w:pStyle w:val="Normal"/>
        <w:ind w:left="465" w:hanging="0"/>
        <w:jc w:val="both"/>
        <w:rPr>
          <w:bCs/>
          <w:sz w:val="26"/>
          <w:szCs w:val="26"/>
        </w:rPr>
      </w:pPr>
      <w:r>
        <w:rPr>
          <w:bCs/>
          <w:sz w:val="26"/>
          <w:szCs w:val="26"/>
        </w:rPr>
      </w:r>
    </w:p>
    <w:p>
      <w:pPr>
        <w:pStyle w:val="Normal"/>
        <w:jc w:val="both"/>
        <w:rPr/>
      </w:pPr>
      <w:r>
        <w:rPr>
          <w:b/>
          <w:bCs/>
          <w:sz w:val="28"/>
          <w:szCs w:val="28"/>
        </w:rPr>
        <w:t>5.  Budynek komunalny Stabunity 1:</w:t>
      </w:r>
    </w:p>
    <w:p>
      <w:pPr>
        <w:pStyle w:val="Normal"/>
        <w:ind w:left="300" w:hanging="0"/>
        <w:jc w:val="both"/>
        <w:rPr/>
      </w:pPr>
      <w:r>
        <w:rPr>
          <w:sz w:val="26"/>
          <w:szCs w:val="26"/>
        </w:rPr>
        <w:t>Gruntowny remont przydomowej oczyszczalni ścieków, wymiana złoża oraz rur         drenażowych i odprowadzających</w:t>
      </w:r>
    </w:p>
    <w:p>
      <w:pPr>
        <w:pStyle w:val="Normal"/>
        <w:jc w:val="both"/>
        <w:rPr>
          <w:sz w:val="28"/>
          <w:szCs w:val="28"/>
        </w:rPr>
      </w:pPr>
      <w:r>
        <w:rPr>
          <w:sz w:val="28"/>
          <w:szCs w:val="28"/>
        </w:rPr>
      </w:r>
    </w:p>
    <w:p>
      <w:pPr>
        <w:pStyle w:val="Normal"/>
        <w:jc w:val="both"/>
        <w:rPr/>
      </w:pPr>
      <w:r>
        <w:rPr>
          <w:b/>
          <w:bCs/>
          <w:sz w:val="28"/>
          <w:szCs w:val="28"/>
        </w:rPr>
        <w:t>6.  Budynek komunalny Kochanówka 17:</w:t>
      </w:r>
    </w:p>
    <w:p>
      <w:pPr>
        <w:pStyle w:val="Normal"/>
        <w:ind w:left="525" w:hanging="0"/>
        <w:jc w:val="both"/>
        <w:rPr/>
      </w:pPr>
      <w:r>
        <w:rPr>
          <w:sz w:val="26"/>
          <w:szCs w:val="26"/>
        </w:rPr>
        <w:t>1. Wymiana bojlera ciepłej wody zamontowanego w instalacji C.O. na (elektryczny) bojler niezależny.</w:t>
      </w:r>
    </w:p>
    <w:p>
      <w:pPr>
        <w:pStyle w:val="Normal"/>
        <w:ind w:left="525" w:hanging="0"/>
        <w:jc w:val="both"/>
        <w:rPr>
          <w:sz w:val="26"/>
          <w:szCs w:val="26"/>
        </w:rPr>
      </w:pPr>
      <w:r>
        <w:rPr>
          <w:sz w:val="26"/>
          <w:szCs w:val="26"/>
        </w:rPr>
        <w:t>2.   Remont instalacji elektrycznej w pomieszczeniu po byłym sklepie.</w:t>
      </w:r>
    </w:p>
    <w:p>
      <w:pPr>
        <w:pStyle w:val="Normal"/>
        <w:ind w:left="540" w:hanging="0"/>
        <w:jc w:val="both"/>
        <w:rPr>
          <w:sz w:val="26"/>
          <w:szCs w:val="26"/>
        </w:rPr>
      </w:pPr>
      <w:r>
        <w:rPr>
          <w:sz w:val="26"/>
          <w:szCs w:val="26"/>
        </w:rPr>
      </w:r>
    </w:p>
    <w:p>
      <w:pPr>
        <w:pStyle w:val="Normal"/>
        <w:jc w:val="both"/>
        <w:rPr/>
      </w:pPr>
      <w:r>
        <w:rPr>
          <w:b/>
          <w:bCs/>
          <w:sz w:val="28"/>
          <w:szCs w:val="28"/>
        </w:rPr>
        <w:t>7.  Budynek komunalny Zaręby 4:</w:t>
      </w:r>
    </w:p>
    <w:p>
      <w:pPr>
        <w:pStyle w:val="Normal"/>
        <w:jc w:val="both"/>
        <w:rPr/>
      </w:pPr>
      <w:r>
        <w:rPr/>
        <w:t xml:space="preserve">      </w:t>
      </w:r>
      <w:r>
        <w:rPr>
          <w:sz w:val="26"/>
          <w:szCs w:val="26"/>
        </w:rPr>
        <w:t>Wypompowanie wody z piwnic budynku (woda gruntowa).</w:t>
      </w:r>
    </w:p>
    <w:p>
      <w:pPr>
        <w:pStyle w:val="Normal"/>
        <w:jc w:val="both"/>
        <w:rPr>
          <w:sz w:val="26"/>
          <w:szCs w:val="26"/>
        </w:rPr>
      </w:pPr>
      <w:r>
        <w:rPr>
          <w:sz w:val="26"/>
          <w:szCs w:val="26"/>
        </w:rPr>
      </w:r>
    </w:p>
    <w:p>
      <w:pPr>
        <w:pStyle w:val="Normal"/>
        <w:jc w:val="both"/>
        <w:rPr/>
      </w:pPr>
      <w:r>
        <w:rPr>
          <w:b/>
          <w:sz w:val="28"/>
          <w:szCs w:val="28"/>
        </w:rPr>
        <w:t>8.  Budynek komunalny Markajmy, ul. Bartoszycka 28:</w:t>
      </w:r>
    </w:p>
    <w:p>
      <w:pPr>
        <w:pStyle w:val="Normal"/>
        <w:jc w:val="both"/>
        <w:rPr/>
      </w:pPr>
      <w:r>
        <w:rPr>
          <w:b/>
          <w:sz w:val="28"/>
          <w:szCs w:val="28"/>
        </w:rPr>
        <w:t xml:space="preserve">     </w:t>
      </w:r>
      <w:r>
        <w:rPr>
          <w:sz w:val="26"/>
          <w:szCs w:val="26"/>
        </w:rPr>
        <w:t>Remont jednego pomieszczenia z przeznaczeniem na biuro.</w:t>
      </w:r>
      <w:r>
        <w:rPr>
          <w:sz w:val="28"/>
          <w:szCs w:val="28"/>
        </w:rPr>
        <w:tab/>
      </w:r>
    </w:p>
    <w:p>
      <w:pPr>
        <w:pStyle w:val="Normal"/>
        <w:jc w:val="both"/>
        <w:rPr>
          <w:b/>
          <w:b/>
          <w:sz w:val="28"/>
          <w:szCs w:val="28"/>
        </w:rPr>
      </w:pPr>
      <w:r>
        <w:rPr>
          <w:b/>
          <w:sz w:val="28"/>
          <w:szCs w:val="28"/>
        </w:rPr>
      </w:r>
    </w:p>
    <w:p>
      <w:pPr>
        <w:pStyle w:val="Normal"/>
        <w:jc w:val="both"/>
        <w:rPr/>
      </w:pPr>
      <w:r>
        <w:rPr>
          <w:b/>
          <w:sz w:val="28"/>
          <w:szCs w:val="28"/>
        </w:rPr>
        <w:t>9.  Szkoła Podstawowa Kraszewo 2:</w:t>
      </w:r>
    </w:p>
    <w:p>
      <w:pPr>
        <w:pStyle w:val="Normal"/>
        <w:jc w:val="both"/>
        <w:rPr/>
      </w:pPr>
      <w:r>
        <w:rPr>
          <w:b/>
          <w:sz w:val="28"/>
          <w:szCs w:val="28"/>
        </w:rPr>
        <w:t xml:space="preserve">       </w:t>
      </w:r>
      <w:r>
        <w:rPr>
          <w:sz w:val="26"/>
          <w:szCs w:val="26"/>
        </w:rPr>
        <w:t>Płukanie instalacji C.O. – regulacja zaworów.</w:t>
      </w:r>
    </w:p>
    <w:p>
      <w:pPr>
        <w:pStyle w:val="Normal"/>
        <w:jc w:val="both"/>
        <w:rPr>
          <w:sz w:val="26"/>
          <w:szCs w:val="26"/>
        </w:rPr>
      </w:pPr>
      <w:r>
        <w:rPr>
          <w:sz w:val="26"/>
          <w:szCs w:val="26"/>
        </w:rPr>
      </w:r>
    </w:p>
    <w:p>
      <w:pPr>
        <w:pStyle w:val="Normal"/>
        <w:jc w:val="both"/>
        <w:rPr/>
      </w:pPr>
      <w:r>
        <w:rPr>
          <w:b/>
          <w:sz w:val="28"/>
          <w:szCs w:val="28"/>
        </w:rPr>
        <w:t>10.  Szkoła Podstawowa Kraszewo 8:</w:t>
      </w:r>
    </w:p>
    <w:p>
      <w:pPr>
        <w:pStyle w:val="Normal"/>
        <w:jc w:val="both"/>
        <w:rPr/>
      </w:pPr>
      <w:r>
        <w:rPr>
          <w:b/>
          <w:sz w:val="28"/>
          <w:szCs w:val="28"/>
        </w:rPr>
        <w:t xml:space="preserve">       </w:t>
      </w:r>
      <w:r>
        <w:rPr>
          <w:sz w:val="26"/>
          <w:szCs w:val="26"/>
        </w:rPr>
        <w:t>Wymiana podejść (zasilenie – powrót) z montażem zaworów odcinających.</w:t>
      </w:r>
    </w:p>
    <w:p>
      <w:pPr>
        <w:pStyle w:val="Normal"/>
        <w:jc w:val="both"/>
        <w:rPr>
          <w:sz w:val="26"/>
          <w:szCs w:val="26"/>
        </w:rPr>
      </w:pPr>
      <w:r>
        <w:rPr>
          <w:sz w:val="26"/>
          <w:szCs w:val="26"/>
        </w:rPr>
      </w:r>
    </w:p>
    <w:p>
      <w:pPr>
        <w:pStyle w:val="Normal"/>
        <w:jc w:val="both"/>
        <w:rPr/>
      </w:pPr>
      <w:r>
        <w:rPr>
          <w:b/>
          <w:sz w:val="28"/>
          <w:szCs w:val="28"/>
        </w:rPr>
        <w:t>11.  Archiwum Urzędu Gminy:</w:t>
      </w:r>
    </w:p>
    <w:p>
      <w:pPr>
        <w:pStyle w:val="Normal"/>
        <w:jc w:val="both"/>
        <w:rPr/>
      </w:pPr>
      <w:r>
        <w:rPr>
          <w:sz w:val="28"/>
          <w:szCs w:val="28"/>
        </w:rPr>
        <w:t xml:space="preserve">       </w:t>
      </w:r>
      <w:r>
        <w:rPr>
          <w:sz w:val="26"/>
          <w:szCs w:val="26"/>
        </w:rPr>
        <w:t>Remont pomieszczenia archiwum w budynku Urzędu Gminy.</w:t>
      </w:r>
    </w:p>
    <w:p>
      <w:pPr>
        <w:pStyle w:val="Normal"/>
        <w:jc w:val="both"/>
        <w:rPr>
          <w:sz w:val="26"/>
          <w:szCs w:val="26"/>
        </w:rPr>
      </w:pPr>
      <w:r>
        <w:rPr>
          <w:sz w:val="26"/>
          <w:szCs w:val="26"/>
        </w:rPr>
      </w:r>
    </w:p>
    <w:p>
      <w:pPr>
        <w:pStyle w:val="Normal"/>
        <w:jc w:val="both"/>
        <w:rPr/>
      </w:pPr>
      <w:r>
        <w:rPr>
          <w:b/>
          <w:sz w:val="28"/>
          <w:szCs w:val="28"/>
        </w:rPr>
        <w:t>12.  Urząd Gminy – pokoje nr 33, 34, 35:</w:t>
      </w:r>
    </w:p>
    <w:p>
      <w:pPr>
        <w:pStyle w:val="Normal"/>
        <w:ind w:left="420" w:hanging="0"/>
        <w:jc w:val="both"/>
        <w:rPr/>
      </w:pPr>
      <w:r>
        <w:rPr>
          <w:sz w:val="26"/>
          <w:szCs w:val="26"/>
        </w:rPr>
        <w:t xml:space="preserve">Remont pokoi (szpachlowanie ubytków i pęknięć, pomalowanie ścian i sufitów, </w:t>
        <w:br/>
        <w:t>w pok. 33 wymiana grzejnika).</w:t>
      </w:r>
    </w:p>
    <w:p>
      <w:pPr>
        <w:pStyle w:val="Normal"/>
        <w:jc w:val="both"/>
        <w:rPr>
          <w:sz w:val="26"/>
          <w:szCs w:val="26"/>
        </w:rPr>
      </w:pPr>
      <w:r>
        <w:rPr>
          <w:sz w:val="26"/>
          <w:szCs w:val="26"/>
        </w:rPr>
      </w:r>
    </w:p>
    <w:p>
      <w:pPr>
        <w:pStyle w:val="Normal"/>
        <w:jc w:val="both"/>
        <w:rPr/>
      </w:pPr>
      <w:r>
        <w:rPr>
          <w:b/>
          <w:sz w:val="28"/>
          <w:szCs w:val="28"/>
        </w:rPr>
        <w:t xml:space="preserve">13. Bieżące utrzymanie i konserwacja obiektów komunalnych i  usuwanie  </w:t>
        <w:br/>
        <w:t xml:space="preserve">       wszelkich awarii.</w:t>
      </w:r>
    </w:p>
    <w:p>
      <w:pPr>
        <w:pStyle w:val="Normal"/>
        <w:jc w:val="both"/>
        <w:rPr>
          <w:b/>
          <w:b/>
          <w:sz w:val="28"/>
          <w:szCs w:val="28"/>
        </w:rPr>
      </w:pPr>
      <w:r>
        <w:rPr>
          <w:b/>
          <w:sz w:val="28"/>
          <w:szCs w:val="28"/>
        </w:rPr>
      </w:r>
    </w:p>
    <w:p>
      <w:pPr>
        <w:pStyle w:val="Normal"/>
        <w:ind w:left="340" w:hanging="340"/>
        <w:jc w:val="both"/>
        <w:rPr/>
      </w:pPr>
      <w:r>
        <w:rPr>
          <w:b/>
          <w:sz w:val="28"/>
          <w:szCs w:val="28"/>
        </w:rPr>
        <w:t>14.  Przygotowywanie przetargów, dokumentacji i inwestycji. Stała obsługa          najemców gminnych lokali (rozliczanie czynszów, wody, energii, c.o., dodatków mieszkaniowych, energetycznych i nieczystości płynnych).</w:t>
      </w:r>
    </w:p>
    <w:p>
      <w:pPr>
        <w:pStyle w:val="Normal"/>
        <w:ind w:left="340" w:hanging="340"/>
        <w:jc w:val="both"/>
        <w:rPr>
          <w:b/>
          <w:b/>
          <w:sz w:val="28"/>
          <w:szCs w:val="28"/>
        </w:rPr>
      </w:pPr>
      <w:r>
        <w:rPr>
          <w:b/>
          <w:sz w:val="28"/>
          <w:szCs w:val="28"/>
        </w:rPr>
      </w:r>
    </w:p>
    <w:p>
      <w:pPr>
        <w:pStyle w:val="Normal"/>
        <w:ind w:left="340" w:hanging="340"/>
        <w:jc w:val="both"/>
        <w:rPr>
          <w:b/>
          <w:b/>
          <w:sz w:val="28"/>
          <w:szCs w:val="28"/>
        </w:rPr>
      </w:pPr>
      <w:r>
        <w:rPr>
          <w:b/>
          <w:sz w:val="28"/>
          <w:szCs w:val="28"/>
        </w:rPr>
        <w:t>15. W wyniku przetargu dnia 08.02.2018 r. wyłoniono nowego najemcę na lokal użytkowy (sklep) w miejscowości Kochanówka 17.</w:t>
      </w:r>
    </w:p>
    <w:p>
      <w:pPr>
        <w:pStyle w:val="Normal"/>
        <w:ind w:left="340" w:hanging="340"/>
        <w:jc w:val="both"/>
        <w:rPr>
          <w:b/>
          <w:b/>
          <w:sz w:val="28"/>
          <w:szCs w:val="28"/>
        </w:rPr>
      </w:pPr>
      <w:r>
        <w:rPr>
          <w:b/>
          <w:sz w:val="28"/>
          <w:szCs w:val="28"/>
        </w:rPr>
      </w:r>
    </w:p>
    <w:p>
      <w:pPr>
        <w:pStyle w:val="Normal"/>
        <w:ind w:left="340" w:hanging="340"/>
        <w:jc w:val="both"/>
        <w:rPr>
          <w:b/>
          <w:b/>
          <w:sz w:val="28"/>
          <w:szCs w:val="28"/>
        </w:rPr>
      </w:pPr>
      <w:r>
        <w:rPr>
          <w:b/>
          <w:sz w:val="28"/>
          <w:szCs w:val="28"/>
        </w:rPr>
        <w:t xml:space="preserve">16. W lutym bieżącego roku przekazano w najem lokal po remoncie w miejscowości Stabunity 1. </w:t>
      </w:r>
    </w:p>
    <w:p>
      <w:pPr>
        <w:pStyle w:val="Normal"/>
        <w:ind w:left="340" w:hanging="340"/>
        <w:jc w:val="both"/>
        <w:rPr>
          <w:b/>
          <w:b/>
          <w:sz w:val="28"/>
          <w:szCs w:val="28"/>
        </w:rPr>
      </w:pPr>
      <w:r>
        <w:rPr>
          <w:b/>
          <w:sz w:val="28"/>
          <w:szCs w:val="28"/>
        </w:rPr>
      </w:r>
    </w:p>
    <w:p>
      <w:pPr>
        <w:pStyle w:val="Normal"/>
        <w:ind w:left="340" w:hanging="340"/>
        <w:jc w:val="both"/>
        <w:rPr>
          <w:b/>
          <w:b/>
          <w:sz w:val="28"/>
          <w:szCs w:val="28"/>
        </w:rPr>
      </w:pPr>
      <w:r>
        <w:rPr>
          <w:b/>
          <w:sz w:val="28"/>
          <w:szCs w:val="28"/>
        </w:rPr>
        <w:t>17. Pozyskano lokal mieszkalny w Babiaku 24/3 przeznaczony w najem.</w:t>
      </w:r>
    </w:p>
    <w:p>
      <w:pPr>
        <w:pStyle w:val="Normal"/>
        <w:jc w:val="both"/>
        <w:rPr>
          <w:b/>
          <w:b/>
          <w:sz w:val="26"/>
          <w:szCs w:val="26"/>
        </w:rPr>
      </w:pPr>
      <w:r>
        <w:rPr>
          <w:b/>
          <w:sz w:val="26"/>
          <w:szCs w:val="26"/>
        </w:rPr>
      </w:r>
    </w:p>
    <w:p>
      <w:pPr>
        <w:pStyle w:val="Normal"/>
        <w:ind w:left="397" w:hanging="397"/>
        <w:jc w:val="both"/>
        <w:rPr/>
      </w:pPr>
      <w:r>
        <w:rPr>
          <w:b/>
          <w:sz w:val="28"/>
          <w:szCs w:val="28"/>
        </w:rPr>
        <w:t>18.  Prowadzenie spraw związanych z ewidencjonowaniem i rozliczaniem           osób skazanych na wykonanie prac społecznych.</w:t>
      </w:r>
    </w:p>
    <w:p>
      <w:pPr>
        <w:pStyle w:val="Normal"/>
        <w:jc w:val="both"/>
        <w:rPr>
          <w:b/>
          <w:b/>
          <w:sz w:val="28"/>
          <w:szCs w:val="28"/>
        </w:rPr>
      </w:pPr>
      <w:r>
        <w:rPr>
          <w:b/>
          <w:sz w:val="28"/>
          <w:szCs w:val="28"/>
        </w:rPr>
      </w:r>
    </w:p>
    <w:p>
      <w:pPr>
        <w:pStyle w:val="Normal"/>
        <w:jc w:val="both"/>
        <w:rPr/>
      </w:pPr>
      <w:r>
        <w:rPr>
          <w:b/>
          <w:sz w:val="28"/>
          <w:szCs w:val="28"/>
        </w:rPr>
        <w:t>19.  Prowadzenie spraw związanych z Gminną Ewidencją Zabytków oraz</w:t>
      </w:r>
    </w:p>
    <w:p>
      <w:pPr>
        <w:pStyle w:val="Normal"/>
        <w:widowControl/>
        <w:suppressAutoHyphens w:val="true"/>
        <w:bidi w:val="0"/>
        <w:ind w:left="0" w:right="0" w:hanging="0"/>
        <w:jc w:val="both"/>
        <w:rPr>
          <w:b/>
          <w:b/>
          <w:sz w:val="28"/>
          <w:szCs w:val="28"/>
        </w:rPr>
      </w:pPr>
      <w:r>
        <w:rPr>
          <w:b/>
          <w:sz w:val="28"/>
          <w:szCs w:val="28"/>
        </w:rPr>
        <w:t xml:space="preserve">       </w:t>
      </w:r>
      <w:r>
        <w:rPr>
          <w:b/>
          <w:sz w:val="28"/>
          <w:szCs w:val="28"/>
        </w:rPr>
        <w:t>Cmentarzem Wojennym.</w:t>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ormal"/>
        <w:widowControl/>
        <w:suppressAutoHyphens w:val="true"/>
        <w:bidi w:val="0"/>
        <w:ind w:left="0" w:right="0" w:hanging="0"/>
        <w:jc w:val="both"/>
        <w:rPr>
          <w:b/>
          <w:b/>
          <w:sz w:val="28"/>
          <w:szCs w:val="28"/>
        </w:rPr>
      </w:pPr>
      <w:r>
        <w:rPr>
          <w:b/>
          <w:sz w:val="28"/>
          <w:szCs w:val="28"/>
        </w:rPr>
      </w:r>
    </w:p>
    <w:p>
      <w:pPr>
        <w:pStyle w:val="Nagwek1"/>
        <w:numPr>
          <w:ilvl w:val="0"/>
          <w:numId w:val="1"/>
        </w:numPr>
        <w:jc w:val="right"/>
        <w:rPr/>
      </w:pPr>
      <w:r>
        <w:rPr>
          <w:rFonts w:cs="Times New Roman"/>
          <w:sz w:val="24"/>
        </w:rPr>
        <w:t>Załącznik nr 14</w:t>
      </w:r>
    </w:p>
    <w:p>
      <w:pPr>
        <w:pStyle w:val="Nagwek1"/>
        <w:numPr>
          <w:ilvl w:val="0"/>
          <w:numId w:val="1"/>
        </w:numPr>
        <w:rPr>
          <w:rFonts w:ascii="Times New Roman" w:hAnsi="Times New Roman" w:cs="Times New Roman"/>
          <w:sz w:val="24"/>
        </w:rPr>
      </w:pPr>
      <w:r>
        <w:rPr/>
      </w:r>
    </w:p>
    <w:p>
      <w:pPr>
        <w:pStyle w:val="Nagwek1"/>
        <w:numPr>
          <w:ilvl w:val="0"/>
          <w:numId w:val="1"/>
        </w:numPr>
        <w:jc w:val="center"/>
        <w:rPr>
          <w:b/>
          <w:b/>
          <w:bCs/>
        </w:rPr>
      </w:pPr>
      <w:r>
        <w:rPr>
          <w:b/>
          <w:bCs/>
        </w:rPr>
        <w:t>REFERAT GOSPODARKI NIERUCHOMOŚCIAMI i OCHRONY ŚRODOWISKA</w:t>
      </w:r>
    </w:p>
    <w:p>
      <w:pPr>
        <w:pStyle w:val="Normal"/>
        <w:spacing w:lineRule="auto" w:line="360"/>
        <w:rPr>
          <w:rFonts w:ascii="Times New Roman" w:hAnsi="Times New Roman" w:cs="Times New Roman"/>
          <w:b/>
          <w:b/>
          <w:sz w:val="24"/>
          <w:u w:val="single"/>
        </w:rPr>
      </w:pPr>
      <w:r>
        <w:rPr>
          <w:rFonts w:cs="Times New Roman"/>
          <w:b/>
          <w:sz w:val="24"/>
          <w:u w:val="single"/>
        </w:rPr>
        <w:t>I. Wywieszono wykaz nieruchomości przeznaczonych do sprzedaży:</w:t>
      </w:r>
    </w:p>
    <w:p>
      <w:pPr>
        <w:pStyle w:val="Normal"/>
        <w:numPr>
          <w:ilvl w:val="0"/>
          <w:numId w:val="4"/>
        </w:numPr>
        <w:spacing w:lineRule="auto" w:line="360"/>
        <w:rPr>
          <w:rFonts w:ascii="Times New Roman" w:hAnsi="Times New Roman" w:cs="Times New Roman"/>
          <w:color w:val="000000"/>
          <w:sz w:val="24"/>
        </w:rPr>
      </w:pPr>
      <w:r>
        <w:rPr>
          <w:rFonts w:cs="Times New Roman"/>
          <w:color w:val="000000"/>
          <w:sz w:val="24"/>
        </w:rPr>
        <w:t>nieruchomość niezabudowana składająca się z działek nr 2/25 i 2/26 o łącznej pow. 2,1543 ha położona w obrębie Markajmy. Cena nieruchomości 250.000 zł + 23% VAT. Sprzedaż w drodze przetargu ustnego nieograniczonego,</w:t>
      </w:r>
    </w:p>
    <w:p>
      <w:pPr>
        <w:pStyle w:val="Normal"/>
        <w:numPr>
          <w:ilvl w:val="0"/>
          <w:numId w:val="4"/>
        </w:numPr>
        <w:spacing w:lineRule="auto" w:line="360"/>
        <w:rPr/>
      </w:pPr>
      <w:r>
        <w:rPr>
          <w:rFonts w:cs="Times New Roman"/>
          <w:color w:val="000000"/>
          <w:sz w:val="24"/>
        </w:rPr>
        <w:t>nieruchomość nr 2/4 o pow. 0,1654 ha położona w obrębie Runowo. Cena nieruchomości 18.000 zł. Sprzedaż w drodze przetargu ustnego nieograniczonego,</w:t>
      </w:r>
    </w:p>
    <w:p>
      <w:pPr>
        <w:pStyle w:val="Normal"/>
        <w:numPr>
          <w:ilvl w:val="0"/>
          <w:numId w:val="4"/>
        </w:numPr>
        <w:spacing w:lineRule="auto" w:line="360"/>
        <w:rPr>
          <w:rFonts w:ascii="Times New Roman" w:hAnsi="Times New Roman" w:cs="Times New Roman"/>
          <w:color w:val="000000"/>
          <w:sz w:val="24"/>
        </w:rPr>
      </w:pPr>
      <w:r>
        <w:rPr>
          <w:rFonts w:cs="Times New Roman"/>
          <w:color w:val="000000"/>
          <w:sz w:val="24"/>
        </w:rPr>
        <w:t>nieruchomość nr 182/9 o pow. 1,2394 ha położona w obrębie Blanki. Cena nieruchomości 250.000 zł + 23% VAT. Sprzedaż w drodze przetargu ustnego nieograniczonego,</w:t>
      </w:r>
    </w:p>
    <w:p>
      <w:pPr>
        <w:pStyle w:val="Normal"/>
        <w:numPr>
          <w:ilvl w:val="0"/>
          <w:numId w:val="4"/>
        </w:numPr>
        <w:spacing w:lineRule="auto" w:line="360"/>
        <w:rPr>
          <w:rFonts w:ascii="Times New Roman" w:hAnsi="Times New Roman" w:cs="Times New Roman"/>
          <w:color w:val="000000"/>
          <w:sz w:val="24"/>
        </w:rPr>
      </w:pPr>
      <w:r>
        <w:rPr>
          <w:rFonts w:cs="Times New Roman"/>
          <w:color w:val="000000"/>
          <w:sz w:val="24"/>
        </w:rPr>
        <w:t>nieruchomość nr 80/4 o pow. 0,0474 ha położona w obrębie Drwęca. Cena nieruchomości 4.500 zł. Sprzedaż w drodze przetargu ustnego nieograniczonego,</w:t>
      </w:r>
    </w:p>
    <w:p>
      <w:pPr>
        <w:pStyle w:val="Normal"/>
        <w:spacing w:lineRule="auto" w:line="360"/>
        <w:rPr>
          <w:rFonts w:ascii="Times New Roman" w:hAnsi="Times New Roman" w:cs="Times New Roman"/>
          <w:b/>
          <w:b/>
          <w:sz w:val="24"/>
          <w:u w:val="single"/>
        </w:rPr>
      </w:pPr>
      <w:r>
        <w:rPr>
          <w:rFonts w:cs="Times New Roman"/>
          <w:b/>
          <w:sz w:val="24"/>
          <w:u w:val="single"/>
        </w:rPr>
        <w:t>II. Przetargi:</w:t>
      </w:r>
    </w:p>
    <w:p>
      <w:pPr>
        <w:pStyle w:val="Normal"/>
        <w:numPr>
          <w:ilvl w:val="0"/>
          <w:numId w:val="5"/>
        </w:numPr>
        <w:spacing w:lineRule="auto" w:line="360"/>
        <w:rPr/>
      </w:pPr>
      <w:r>
        <w:rPr>
          <w:rFonts w:cs="Times New Roman"/>
          <w:sz w:val="24"/>
          <w:u w:val="single"/>
        </w:rPr>
        <w:t xml:space="preserve">Ogłoszono na dzień 30 marca 2018r. przetarg na sprzedaż nieruchomości </w:t>
      </w:r>
      <w:r>
        <w:rPr>
          <w:rFonts w:cs="Times New Roman"/>
          <w:sz w:val="24"/>
        </w:rPr>
        <w:t xml:space="preserve">niezabudowanej nr 6/8 o powierzchni 4,2900 ha, położonej w Markajmach. Cena wywoławcza 470.000,00 zł + 23 % VAT, wadium 47.000,00 zł. </w:t>
        <w:tab/>
      </w:r>
      <w:r>
        <w:rPr>
          <w:rFonts w:cs="Times New Roman"/>
          <w:sz w:val="24"/>
          <w:u w:val="single"/>
        </w:rPr>
        <w:t xml:space="preserve"> </w:t>
      </w:r>
    </w:p>
    <w:p>
      <w:pPr>
        <w:pStyle w:val="Normal"/>
        <w:numPr>
          <w:ilvl w:val="0"/>
          <w:numId w:val="5"/>
        </w:numPr>
        <w:spacing w:lineRule="auto" w:line="360"/>
        <w:rPr>
          <w:rFonts w:ascii="Times New Roman" w:hAnsi="Times New Roman" w:cs="Times New Roman"/>
          <w:sz w:val="24"/>
          <w:u w:val="single"/>
        </w:rPr>
      </w:pPr>
      <w:r>
        <w:rPr>
          <w:rFonts w:cs="Times New Roman"/>
          <w:sz w:val="24"/>
          <w:u w:val="single"/>
        </w:rPr>
        <w:t>Dnia 01.03.2018r. zostaną ogłoszone przetargi na sprzedaż nieruchomości:</w:t>
      </w:r>
    </w:p>
    <w:p>
      <w:pPr>
        <w:pStyle w:val="Normal"/>
        <w:numPr>
          <w:ilvl w:val="0"/>
          <w:numId w:val="6"/>
        </w:numPr>
        <w:spacing w:lineRule="auto" w:line="360"/>
        <w:rPr>
          <w:rFonts w:ascii="Times New Roman" w:hAnsi="Times New Roman" w:cs="Times New Roman"/>
          <w:color w:val="000000"/>
          <w:sz w:val="24"/>
        </w:rPr>
      </w:pPr>
      <w:r>
        <w:rPr>
          <w:rFonts w:cs="Times New Roman"/>
          <w:color w:val="000000"/>
          <w:sz w:val="24"/>
        </w:rPr>
        <w:t>składającej się z działki nr 7/24 o pow. 0,1769 ha oraz udziału 35/1000 w działkach 7/45, 7/48, 7/49, 7/50, 7/51, 7/52 o łącznej powierzchni 2,8192 ha położonej w obrębie Suryty, cena wywoławcza  55.000,00 zł + 23 % VAT, wadium 5.500,00 zł;</w:t>
      </w:r>
    </w:p>
    <w:p>
      <w:pPr>
        <w:pStyle w:val="Normal"/>
        <w:numPr>
          <w:ilvl w:val="0"/>
          <w:numId w:val="6"/>
        </w:numPr>
        <w:spacing w:lineRule="auto" w:line="360"/>
        <w:rPr>
          <w:rFonts w:ascii="Times New Roman" w:hAnsi="Times New Roman" w:cs="Times New Roman"/>
          <w:color w:val="000000"/>
          <w:sz w:val="24"/>
        </w:rPr>
      </w:pPr>
      <w:r>
        <w:rPr>
          <w:rFonts w:cs="Times New Roman"/>
          <w:color w:val="000000"/>
          <w:sz w:val="24"/>
        </w:rPr>
        <w:t>niezabudowanej nr 2/42, o pow. 0,0621 ha położonej w obrębie Markajmy, cena wywoławcza 18.000,00 zł, wadium 1.800,00 zł;</w:t>
      </w:r>
    </w:p>
    <w:p>
      <w:pPr>
        <w:pStyle w:val="Normal"/>
        <w:spacing w:lineRule="auto" w:line="360"/>
        <w:rPr>
          <w:rFonts w:ascii="Times New Roman" w:hAnsi="Times New Roman" w:cs="Times New Roman"/>
          <w:sz w:val="24"/>
        </w:rPr>
      </w:pPr>
      <w:r>
        <w:rPr>
          <w:rFonts w:cs="Times New Roman"/>
          <w:sz w:val="24"/>
        </w:rPr>
        <w:t xml:space="preserve">W/w przetargi odbędą się 4 kwietnia 2018r. </w:t>
      </w:r>
    </w:p>
    <w:p>
      <w:pPr>
        <w:pStyle w:val="Normal"/>
        <w:spacing w:lineRule="auto" w:line="360"/>
        <w:rPr>
          <w:rFonts w:ascii="Times New Roman" w:hAnsi="Times New Roman" w:cs="Times New Roman"/>
          <w:sz w:val="24"/>
          <w:u w:val="single"/>
        </w:rPr>
      </w:pPr>
      <w:r>
        <w:rPr>
          <w:rFonts w:cs="Times New Roman"/>
          <w:sz w:val="24"/>
          <w:u w:val="single"/>
        </w:rPr>
        <w:t xml:space="preserve">3. Z powodu braku zainteresowania zakupem nie odbyły się przetargi: </w:t>
      </w:r>
    </w:p>
    <w:p>
      <w:pPr>
        <w:pStyle w:val="Normal"/>
        <w:numPr>
          <w:ilvl w:val="0"/>
          <w:numId w:val="7"/>
        </w:numPr>
        <w:spacing w:lineRule="auto" w:line="360"/>
        <w:rPr/>
      </w:pPr>
      <w:r>
        <w:rPr>
          <w:rFonts w:cs="Times New Roman"/>
          <w:sz w:val="24"/>
        </w:rPr>
        <w:t>na sprzedaż działki nr 26/5 o pow. 0,0104 ha zabudowanej budynkiem gospodarczym położonej w miejscowości Runowo.</w:t>
      </w:r>
      <w:r>
        <w:rPr>
          <w:rStyle w:val="DefaultParagraphFont"/>
          <w:rFonts w:cs="Times New Roman"/>
          <w:sz w:val="24"/>
        </w:rPr>
        <w:t xml:space="preserve"> </w:t>
      </w:r>
      <w:r>
        <w:rPr>
          <w:rStyle w:val="Mocnowyrniony"/>
          <w:rFonts w:cs="Times New Roman"/>
          <w:b w:val="false"/>
          <w:sz w:val="24"/>
        </w:rPr>
        <w:t>Cena wywoławcza 4.000,00 zł.</w:t>
      </w:r>
    </w:p>
    <w:p>
      <w:pPr>
        <w:pStyle w:val="Normal"/>
        <w:numPr>
          <w:ilvl w:val="0"/>
          <w:numId w:val="7"/>
        </w:numPr>
        <w:spacing w:lineRule="auto" w:line="360"/>
        <w:rPr>
          <w:rFonts w:ascii="Times New Roman" w:hAnsi="Times New Roman" w:cs="Times New Roman"/>
          <w:sz w:val="24"/>
        </w:rPr>
      </w:pPr>
      <w:r>
        <w:rPr>
          <w:rFonts w:cs="Times New Roman"/>
          <w:sz w:val="24"/>
        </w:rPr>
        <w:t>na sprzedaż lokalu mieszkalnego nr 2 położonego na parterze budynku nr 51 w miejscowości Runowo na działce nr 123/4. Cena wywoławcza 60.000 zł.</w:t>
      </w:r>
    </w:p>
    <w:p>
      <w:pPr>
        <w:pStyle w:val="Normal"/>
        <w:spacing w:lineRule="auto" w:line="360"/>
        <w:rPr>
          <w:rFonts w:ascii="Times New Roman" w:hAnsi="Times New Roman" w:cs="Times New Roman"/>
          <w:sz w:val="24"/>
        </w:rPr>
      </w:pPr>
      <w:r>
        <w:rPr>
          <w:rFonts w:cs="Times New Roman"/>
          <w:sz w:val="24"/>
        </w:rPr>
      </w:r>
    </w:p>
    <w:p>
      <w:pPr>
        <w:pStyle w:val="Normal"/>
        <w:spacing w:lineRule="auto" w:line="360"/>
        <w:rPr>
          <w:rFonts w:ascii="Times New Roman" w:hAnsi="Times New Roman" w:cs="Times New Roman"/>
          <w:b/>
          <w:b/>
          <w:sz w:val="24"/>
          <w:u w:val="single"/>
        </w:rPr>
      </w:pPr>
      <w:r>
        <w:rPr>
          <w:rFonts w:cs="Times New Roman"/>
          <w:b/>
          <w:sz w:val="24"/>
          <w:u w:val="single"/>
        </w:rPr>
        <w:t>III. Wnioski na usunięcie odpadów zawierających azbest:</w:t>
      </w:r>
    </w:p>
    <w:p>
      <w:pPr>
        <w:pStyle w:val="Normal"/>
        <w:spacing w:lineRule="auto" w:line="360"/>
        <w:rPr/>
      </w:pPr>
      <w:r>
        <w:rPr>
          <w:rFonts w:cs="Times New Roman"/>
          <w:sz w:val="24"/>
        </w:rPr>
        <w:t xml:space="preserve">Trwa nabór wniosków na usunięcie odpadów zawierających azbest. Nabór trwa do 12.03.2018r. </w:t>
      </w:r>
    </w:p>
    <w:p>
      <w:pPr>
        <w:pStyle w:val="Normal"/>
        <w:spacing w:lineRule="auto" w:line="360"/>
        <w:rPr>
          <w:rFonts w:ascii="Times New Roman" w:hAnsi="Times New Roman" w:cs="Times New Roman"/>
          <w:b/>
          <w:b/>
          <w:sz w:val="24"/>
          <w:u w:val="single"/>
        </w:rPr>
      </w:pPr>
      <w:r>
        <w:rPr>
          <w:rFonts w:cs="Times New Roman"/>
          <w:b/>
          <w:sz w:val="24"/>
          <w:u w:val="single"/>
        </w:rPr>
        <w:t>IV. Miejscowe plany zagospodarowania przestrzennego:</w:t>
      </w:r>
    </w:p>
    <w:p>
      <w:pPr>
        <w:pStyle w:val="Normal"/>
        <w:spacing w:lineRule="auto" w:line="360"/>
        <w:rPr>
          <w:rFonts w:ascii="Times New Roman" w:hAnsi="Times New Roman" w:cs="Times New Roman"/>
          <w:sz w:val="24"/>
        </w:rPr>
      </w:pPr>
      <w:r>
        <w:rPr>
          <w:rFonts w:cs="Times New Roman"/>
          <w:sz w:val="24"/>
        </w:rPr>
        <w:t>Trwa procedura opiniowania i uzgadniania miejscowych planów zagospodarowania przestrzennego w miejscowościach Kłębowo, Suryty i Markajmy.</w:t>
      </w:r>
    </w:p>
    <w:p>
      <w:pPr>
        <w:pStyle w:val="Normal"/>
        <w:spacing w:lineRule="auto" w:line="360"/>
        <w:rPr>
          <w:rFonts w:ascii="Times New Roman" w:hAnsi="Times New Roman" w:cs="Times New Roman"/>
          <w:b/>
          <w:b/>
          <w:sz w:val="24"/>
          <w:u w:val="single"/>
        </w:rPr>
      </w:pPr>
      <w:r>
        <w:rPr>
          <w:rFonts w:cs="Times New Roman"/>
          <w:b/>
          <w:sz w:val="24"/>
          <w:u w:val="single"/>
        </w:rPr>
        <w:t>V. Gospodarka odpadami,ochrona środowiska:</w:t>
      </w:r>
    </w:p>
    <w:p>
      <w:pPr>
        <w:pStyle w:val="Normal"/>
        <w:spacing w:lineRule="auto" w:line="360"/>
        <w:rPr>
          <w:rFonts w:ascii="Times New Roman" w:hAnsi="Times New Roman" w:cs="Times New Roman"/>
          <w:sz w:val="24"/>
        </w:rPr>
      </w:pPr>
      <w:r>
        <w:rPr>
          <w:rFonts w:cs="Times New Roman"/>
          <w:sz w:val="24"/>
        </w:rPr>
        <w:t xml:space="preserve">1.Przyjęto 8 wniosków o udzielenie dotacji na budowę przydomowych oczyszczalni ścieków. </w:t>
      </w:r>
    </w:p>
    <w:p>
      <w:pPr>
        <w:pStyle w:val="Normal"/>
        <w:spacing w:lineRule="auto" w:line="360"/>
        <w:rPr>
          <w:rFonts w:ascii="Times New Roman" w:hAnsi="Times New Roman" w:cs="Times New Roman"/>
          <w:sz w:val="24"/>
        </w:rPr>
      </w:pPr>
      <w:r>
        <w:rPr>
          <w:rFonts w:cs="Times New Roman"/>
          <w:sz w:val="24"/>
        </w:rPr>
        <w:t>Termin przyjmowania wniosków o dofinansowanie upływa 31 marca 2018 r.</w:t>
      </w:r>
    </w:p>
    <w:p>
      <w:pPr>
        <w:pStyle w:val="Normal"/>
        <w:spacing w:lineRule="auto" w:line="360"/>
        <w:rPr>
          <w:rFonts w:ascii="Times New Roman" w:hAnsi="Times New Roman" w:cs="Times New Roman"/>
          <w:sz w:val="24"/>
        </w:rPr>
      </w:pPr>
      <w:r>
        <w:rPr>
          <w:rFonts w:cs="Times New Roman"/>
          <w:sz w:val="24"/>
        </w:rPr>
        <w:t xml:space="preserve">2. Przyjęto 41 zgłoszeń zamiaru usunięcia drzew od właścicieli  nieruchomości, dokonano oględzin </w:t>
      </w:r>
    </w:p>
    <w:p>
      <w:pPr>
        <w:pStyle w:val="Normal"/>
        <w:spacing w:lineRule="auto" w:line="360"/>
        <w:rPr>
          <w:rFonts w:ascii="Times New Roman" w:hAnsi="Times New Roman" w:cs="Times New Roman"/>
          <w:sz w:val="24"/>
        </w:rPr>
      </w:pPr>
      <w:r>
        <w:rPr>
          <w:rFonts w:cs="Times New Roman"/>
          <w:sz w:val="24"/>
        </w:rPr>
        <w:t xml:space="preserve">drzew zgłoszonych do usunięcia. Zgodnie z rozporządzeniem  Ministra Środowiska od dnia 1 </w:t>
      </w:r>
    </w:p>
    <w:p>
      <w:pPr>
        <w:pStyle w:val="Normal"/>
        <w:spacing w:lineRule="auto" w:line="360"/>
        <w:rPr>
          <w:rFonts w:ascii="Times New Roman" w:hAnsi="Times New Roman" w:cs="Times New Roman"/>
          <w:sz w:val="24"/>
        </w:rPr>
      </w:pPr>
      <w:r>
        <w:rPr>
          <w:rFonts w:cs="Times New Roman"/>
          <w:sz w:val="24"/>
        </w:rPr>
        <w:t xml:space="preserve">marca do 15 października obowiązuje zakaz  usuwania drzew. Wydano 6 decyzji dla zarządców </w:t>
      </w:r>
    </w:p>
    <w:p>
      <w:pPr>
        <w:pStyle w:val="Normal"/>
        <w:spacing w:lineRule="auto" w:line="360"/>
        <w:rPr>
          <w:rFonts w:ascii="Times New Roman" w:hAnsi="Times New Roman" w:cs="Times New Roman"/>
          <w:sz w:val="24"/>
        </w:rPr>
      </w:pPr>
      <w:r>
        <w:rPr>
          <w:rFonts w:cs="Times New Roman"/>
          <w:sz w:val="24"/>
        </w:rPr>
        <w:t xml:space="preserve">dróg na usuniecie drzew z pasa drogowego, wystąpiono do Starosty z 5 wnioskami o usunięcie </w:t>
      </w:r>
    </w:p>
    <w:p>
      <w:pPr>
        <w:pStyle w:val="Normal"/>
        <w:spacing w:lineRule="auto" w:line="360"/>
        <w:rPr>
          <w:rFonts w:ascii="Times New Roman" w:hAnsi="Times New Roman" w:cs="Times New Roman"/>
          <w:sz w:val="24"/>
        </w:rPr>
      </w:pPr>
      <w:r>
        <w:rPr>
          <w:rFonts w:cs="Times New Roman"/>
          <w:sz w:val="24"/>
        </w:rPr>
        <w:t>drzew rosnących na nieruchomościach stanowiących własność gminy</w:t>
      </w:r>
    </w:p>
    <w:p>
      <w:pPr>
        <w:pStyle w:val="Normal"/>
        <w:spacing w:lineRule="auto" w:line="360"/>
        <w:rPr>
          <w:rFonts w:ascii="Times New Roman" w:hAnsi="Times New Roman" w:cs="Times New Roman"/>
          <w:sz w:val="24"/>
        </w:rPr>
      </w:pPr>
      <w:r>
        <w:rPr>
          <w:rFonts w:cs="Times New Roman"/>
          <w:sz w:val="24"/>
        </w:rPr>
        <w:t xml:space="preserve">3. Dokonano 65 zmian w deklaracjach o wysokości opłaty za gospodarowanie odpadami </w:t>
      </w:r>
    </w:p>
    <w:p>
      <w:pPr>
        <w:pStyle w:val="Normal"/>
        <w:spacing w:lineRule="auto" w:line="360"/>
        <w:rPr>
          <w:rFonts w:ascii="Times New Roman" w:hAnsi="Times New Roman" w:cs="Times New Roman"/>
          <w:sz w:val="24"/>
        </w:rPr>
      </w:pPr>
      <w:r>
        <w:rPr>
          <w:rFonts w:cs="Times New Roman"/>
          <w:sz w:val="24"/>
        </w:rPr>
        <w:t xml:space="preserve">komunalnymi, w tym przyjęto 7 nowych deklaracji od właścicieli nieruchomości , oraz </w:t>
      </w:r>
    </w:p>
    <w:p>
      <w:pPr>
        <w:pStyle w:val="Normal"/>
        <w:spacing w:lineRule="auto" w:line="360"/>
        <w:rPr/>
      </w:pPr>
      <w:r>
        <w:rPr>
          <w:rFonts w:cs="Times New Roman"/>
          <w:sz w:val="24"/>
        </w:rPr>
        <w:t>zlikwidowano 5 deklaracji.</w:t>
      </w:r>
    </w:p>
    <w:p>
      <w:pPr>
        <w:pStyle w:val="Normal"/>
        <w:spacing w:lineRule="auto" w:line="360"/>
        <w:rPr>
          <w:rFonts w:ascii="Times New Roman" w:hAnsi="Times New Roman" w:cs="Times New Roman"/>
          <w:b/>
          <w:b/>
          <w:sz w:val="24"/>
          <w:u w:val="single"/>
        </w:rPr>
      </w:pPr>
      <w:r>
        <w:rPr>
          <w:rFonts w:cs="Times New Roman"/>
          <w:b/>
          <w:sz w:val="24"/>
          <w:u w:val="single"/>
        </w:rPr>
        <w:t>VI. Realizacja inwestycji wodociągowo- kanalizacyjnych:</w:t>
      </w:r>
    </w:p>
    <w:p>
      <w:pPr>
        <w:pStyle w:val="Normal"/>
        <w:spacing w:lineRule="auto" w:line="360"/>
        <w:rPr>
          <w:rFonts w:ascii="Times New Roman" w:hAnsi="Times New Roman" w:cs="Times New Roman"/>
          <w:sz w:val="24"/>
        </w:rPr>
      </w:pPr>
      <w:r>
        <w:rPr>
          <w:rFonts w:cs="Times New Roman"/>
          <w:sz w:val="24"/>
        </w:rPr>
        <w:t>Zbliżają się końcowe roboty inwestycyjne na obiektach:</w:t>
      </w:r>
    </w:p>
    <w:p>
      <w:pPr>
        <w:pStyle w:val="Normal"/>
        <w:spacing w:lineRule="auto" w:line="360"/>
        <w:rPr/>
      </w:pPr>
      <w:r>
        <w:rPr>
          <w:rFonts w:cs="Times New Roman"/>
          <w:sz w:val="24"/>
        </w:rPr>
        <w:t xml:space="preserve">1). Budowa sieci wodociągowej w Nowej Wsi Wielkiej - ułożono </w:t>
      </w:r>
      <w:r>
        <w:rPr>
          <w:rFonts w:cs="Times New Roman"/>
          <w:sz w:val="24"/>
          <w:lang w:eastAsia="pl-PL"/>
        </w:rPr>
        <w:t>sieć wodociągową z rur PE100 o średnicy 90 mm o długości 582 m i PE 63 mm o długości 328m. Długość całkowita rurociągu wynosi 910 m.</w:t>
      </w:r>
    </w:p>
    <w:p>
      <w:pPr>
        <w:pStyle w:val="Normal"/>
        <w:spacing w:lineRule="auto" w:line="360"/>
        <w:rPr/>
      </w:pPr>
      <w:r>
        <w:rPr>
          <w:rFonts w:cs="Times New Roman"/>
          <w:sz w:val="24"/>
          <w:lang w:eastAsia="pl-PL"/>
        </w:rPr>
        <w:t xml:space="preserve">2). </w:t>
      </w:r>
      <w:r>
        <w:rPr>
          <w:rFonts w:cs="Times New Roman"/>
          <w:sz w:val="24"/>
        </w:rPr>
        <w:t xml:space="preserve">Budowa sieci sanitarnej i wodociągowej w Kraszewie – ułożono sieć kanalizacji grawitacyjnej </w:t>
      </w:r>
      <w:r>
        <w:rPr>
          <w:rFonts w:cs="Times New Roman"/>
          <w:sz w:val="24"/>
          <w:lang w:eastAsia="pl-PL"/>
        </w:rPr>
        <w:t>o średnicy 200 mm i łącznej długość 243 m, kanalizacji tłocznej ciśnieniowej z rur PE80-SDR11 o średnicy 90x8,2 mm o długości 605 m oraz sieć wodociągową z rur PE100 o średnicy 110 mm o długości 378 m.</w:t>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t>Na okres bardzo niskich temperatur wstrzymano pozostałe prace porządkowe i drogowe.</w:t>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sectPr>
          <w:footerReference w:type="default" r:id="rId6"/>
          <w:type w:val="nextPage"/>
          <w:pgSz w:w="11906" w:h="16838"/>
          <w:pgMar w:left="1418" w:right="851" w:header="0" w:top="1134" w:footer="709" w:bottom="1135" w:gutter="0"/>
          <w:pgNumType w:fmt="decimal"/>
          <w:formProt w:val="false"/>
          <w:textDirection w:val="lrTb"/>
          <w:docGrid w:type="default" w:linePitch="360" w:charSpace="2047"/>
        </w:sectPr>
        <w:pStyle w:val="Normal"/>
        <w:widowControl/>
        <w:suppressAutoHyphens w:val="true"/>
        <w:bidi w:val="0"/>
        <w:spacing w:lineRule="auto" w:line="360"/>
        <w:ind w:left="0" w:right="0" w:hanging="0"/>
        <w:jc w:val="both"/>
        <w:rPr>
          <w:rFonts w:ascii="Times New Roman" w:hAnsi="Times New Roman" w:cs="Times New Roman"/>
          <w:b/>
          <w:b/>
          <w:sz w:val="24"/>
          <w:szCs w:val="28"/>
          <w:lang w:eastAsia="pl-PL"/>
        </w:rPr>
      </w:pPr>
      <w:r>
        <w:rPr>
          <w:rFonts w:cs="Times New Roman"/>
          <w:b/>
          <w:sz w:val="24"/>
          <w:szCs w:val="28"/>
          <w:lang w:eastAsia="pl-PL"/>
        </w:rPr>
      </w:r>
    </w:p>
    <w:p>
      <w:pPr>
        <w:pStyle w:val="Nagwek1"/>
        <w:numPr>
          <w:ilvl w:val="0"/>
          <w:numId w:val="1"/>
        </w:numPr>
        <w:jc w:val="right"/>
        <w:rPr>
          <w:b w:val="false"/>
          <w:b w:val="false"/>
          <w:bCs w:val="false"/>
        </w:rPr>
      </w:pPr>
      <w:r>
        <w:rPr>
          <w:b w:val="false"/>
          <w:bCs w:val="false"/>
          <w:sz w:val="24"/>
          <w:szCs w:val="24"/>
        </w:rPr>
        <w:t>Załącznik nr 15</w:t>
      </w:r>
    </w:p>
    <w:p>
      <w:pPr>
        <w:pStyle w:val="Nagwek1"/>
        <w:numPr>
          <w:ilvl w:val="0"/>
          <w:numId w:val="1"/>
        </w:numPr>
        <w:jc w:val="center"/>
        <w:rPr>
          <w:rFonts w:ascii="Times New Roman" w:hAnsi="Times New Roman"/>
          <w:sz w:val="24"/>
          <w:szCs w:val="24"/>
        </w:rPr>
      </w:pPr>
      <w:r>
        <w:rPr>
          <w:b/>
          <w:bCs/>
        </w:rPr>
      </w:r>
    </w:p>
    <w:p>
      <w:pPr>
        <w:pStyle w:val="Nagwek1"/>
        <w:numPr>
          <w:ilvl w:val="0"/>
          <w:numId w:val="1"/>
        </w:numPr>
        <w:jc w:val="center"/>
        <w:rPr>
          <w:b/>
          <w:b/>
          <w:bCs/>
        </w:rPr>
      </w:pPr>
      <w:r>
        <w:rPr>
          <w:b/>
          <w:bCs/>
          <w:sz w:val="24"/>
          <w:szCs w:val="24"/>
        </w:rPr>
        <w:t>REFERAT FUNDUSZY POMOCOWYCH, OŚWIATY I PROMOCJI</w:t>
      </w:r>
    </w:p>
    <w:p>
      <w:pPr>
        <w:pStyle w:val="Normal"/>
        <w:jc w:val="center"/>
        <w:rPr/>
      </w:pPr>
      <w:r>
        <w:rPr>
          <w:rFonts w:cs="Times New Roman"/>
          <w:b/>
        </w:rPr>
        <w:t>WYKAZ NAJWAŻNIEJSZYCH ZADAŃ ZREALIZOWANYCH W OKRESIE</w:t>
      </w:r>
    </w:p>
    <w:p>
      <w:pPr>
        <w:pStyle w:val="Normal"/>
        <w:jc w:val="center"/>
        <w:rPr/>
      </w:pPr>
      <w:r>
        <w:rPr>
          <w:rFonts w:cs="Times New Roman"/>
          <w:b/>
        </w:rPr>
        <w:t>16.12.2017 – 01.03.2018</w:t>
      </w:r>
    </w:p>
    <w:p>
      <w:pPr>
        <w:pStyle w:val="Normal"/>
        <w:spacing w:lineRule="auto" w:line="276"/>
        <w:jc w:val="both"/>
        <w:rPr/>
      </w:pPr>
      <w:r>
        <w:rPr>
          <w:b/>
          <w:u w:val="single"/>
        </w:rPr>
        <w:t>FUNDUSZE POMOCOWE</w:t>
      </w:r>
    </w:p>
    <w:p>
      <w:pPr>
        <w:pStyle w:val="ListParagraph"/>
        <w:numPr>
          <w:ilvl w:val="0"/>
          <w:numId w:val="8"/>
        </w:numPr>
        <w:spacing w:lineRule="auto" w:line="276"/>
        <w:ind w:left="284" w:hanging="284"/>
        <w:jc w:val="both"/>
        <w:rPr/>
      </w:pPr>
      <w:r>
        <w:rPr>
          <w:rFonts w:cs="Times New Roman"/>
        </w:rPr>
        <w:t>Złożenie wniosku o dofinansowanie projektu w ramach RPO Warmia Mazury na zajęcia pozalekcyjne dla szkół z terenu Gminy Lidzbark Warmiński. Kwota wnioskowanego dofinansowania: 1 011 923,47 zł.</w:t>
      </w:r>
    </w:p>
    <w:p>
      <w:pPr>
        <w:pStyle w:val="ListParagraph"/>
        <w:numPr>
          <w:ilvl w:val="0"/>
          <w:numId w:val="8"/>
        </w:numPr>
        <w:spacing w:lineRule="auto" w:line="276"/>
        <w:ind w:left="284" w:hanging="284"/>
        <w:jc w:val="both"/>
        <w:rPr/>
      </w:pPr>
      <w:r>
        <w:rPr/>
        <w:t>Ogłoszenie konkursu na wykonanie zadań gminy w ramach inicjatywy lokalnej.</w:t>
      </w:r>
    </w:p>
    <w:p>
      <w:pPr>
        <w:pStyle w:val="ListParagraph"/>
        <w:numPr>
          <w:ilvl w:val="0"/>
          <w:numId w:val="8"/>
        </w:numPr>
        <w:spacing w:lineRule="auto" w:line="276"/>
        <w:ind w:left="284" w:hanging="284"/>
        <w:jc w:val="both"/>
        <w:rPr/>
      </w:pPr>
      <w:r>
        <w:rPr/>
        <w:t>Ogłoszenie otwartego konkursu ofert na wykonanie zadań gminy Lidzbark Warmiński przez organizacje pozarządowe w zakresie: pomoc społeczna, turystyka, kultura fizyczna i sport, kultura-tradycja-edukacja, organizacja wypoczynku dzieci i młodzieży.</w:t>
      </w:r>
    </w:p>
    <w:p>
      <w:pPr>
        <w:pStyle w:val="ListParagraph"/>
        <w:numPr>
          <w:ilvl w:val="0"/>
          <w:numId w:val="8"/>
        </w:numPr>
        <w:spacing w:lineRule="auto" w:line="276"/>
        <w:ind w:left="284" w:hanging="284"/>
        <w:jc w:val="both"/>
        <w:rPr/>
      </w:pPr>
      <w:r>
        <w:rPr/>
        <w:t xml:space="preserve">Rozstrzygnięcie otwartego konkursu ofert na wykonanie zadań gminy w zakresie pomocy społecznej. Przyznanie kwoty 7996,00 zł dla Chrześcijańskiej Służby Charytatywnej/Oddział Warmińsko-Mazurski na zadania pn. </w:t>
      </w:r>
      <w:r>
        <w:rPr>
          <w:rFonts w:cs="Times New Roman"/>
        </w:rPr>
        <w:t>„</w:t>
      </w:r>
      <w:r>
        <w:rPr>
          <w:rFonts w:cs="Times New Roman"/>
          <w:sz w:val="22"/>
          <w:szCs w:val="22"/>
        </w:rPr>
        <w:t>Prowadzenie zorganizowanych form pomocy dla najuboższych mieszkańców gminy”.</w:t>
      </w:r>
    </w:p>
    <w:p>
      <w:pPr>
        <w:pStyle w:val="ListParagraph"/>
        <w:numPr>
          <w:ilvl w:val="0"/>
          <w:numId w:val="8"/>
        </w:numPr>
        <w:spacing w:lineRule="auto" w:line="276"/>
        <w:ind w:left="284" w:hanging="284"/>
        <w:jc w:val="both"/>
        <w:rPr/>
      </w:pPr>
      <w:r>
        <w:rPr>
          <w:rFonts w:cs="Times New Roman"/>
        </w:rPr>
        <w:t>Bieżące rozliczanie otrzymanych grantów dofinansowanych ze środków PROW na lata 2014-2020 w ramach LGD „Warmiński Zakątek”.</w:t>
      </w:r>
    </w:p>
    <w:p>
      <w:pPr>
        <w:pStyle w:val="ListParagraph"/>
        <w:spacing w:lineRule="auto" w:line="276"/>
        <w:ind w:left="284" w:hanging="0"/>
        <w:jc w:val="both"/>
        <w:rPr>
          <w:rFonts w:cs="Times New Roman"/>
        </w:rPr>
      </w:pPr>
      <w:r>
        <w:rPr>
          <w:rFonts w:cs="Times New Roman"/>
        </w:rPr>
      </w:r>
    </w:p>
    <w:p>
      <w:pPr>
        <w:pStyle w:val="Normal"/>
        <w:spacing w:lineRule="auto" w:line="276"/>
        <w:jc w:val="both"/>
        <w:rPr>
          <w:rFonts w:cs="Times New Roman"/>
          <w:b/>
          <w:b/>
          <w:u w:val="single"/>
        </w:rPr>
      </w:pPr>
      <w:r>
        <w:rPr>
          <w:rFonts w:cs="Times New Roman"/>
          <w:b/>
          <w:u w:val="single"/>
        </w:rPr>
      </w:r>
    </w:p>
    <w:p>
      <w:pPr>
        <w:pStyle w:val="Normal"/>
        <w:spacing w:lineRule="auto" w:line="276"/>
        <w:jc w:val="both"/>
        <w:rPr/>
      </w:pPr>
      <w:r>
        <w:rPr>
          <w:b/>
          <w:u w:val="single"/>
        </w:rPr>
        <w:t>OŚWIATA</w:t>
      </w:r>
    </w:p>
    <w:p>
      <w:pPr>
        <w:pStyle w:val="Normal"/>
        <w:suppressAutoHyphens w:val="true"/>
        <w:spacing w:lineRule="auto" w:line="276"/>
        <w:jc w:val="both"/>
        <w:rPr/>
      </w:pPr>
      <w:r>
        <w:rPr>
          <w:rFonts w:eastAsia="Times New Roman" w:cs="Times New Roman"/>
          <w:lang w:eastAsia="zh-CN"/>
        </w:rPr>
        <w:t>1. sporządzenie nowych umów na rok szkolny 2017/2018 o zwrot kosztów przejazdu uczniów niepełnosprawnych,</w:t>
      </w:r>
    </w:p>
    <w:p>
      <w:pPr>
        <w:pStyle w:val="Normal"/>
        <w:suppressAutoHyphens w:val="true"/>
        <w:spacing w:lineRule="auto" w:line="276"/>
        <w:jc w:val="both"/>
        <w:rPr/>
      </w:pPr>
      <w:r>
        <w:rPr>
          <w:rFonts w:eastAsia="Times New Roman" w:cs="Times New Roman"/>
          <w:lang w:eastAsia="zh-CN"/>
        </w:rPr>
        <w:t>2. zwrot kosztów przejazdu uczniów niepełnosprawnych i ich opiekunów do przedszkola, szkoły lub ośrodka na podstawie przedłożonego rozliczenia,</w:t>
      </w:r>
    </w:p>
    <w:p>
      <w:pPr>
        <w:pStyle w:val="Normal"/>
        <w:suppressAutoHyphens w:val="true"/>
        <w:spacing w:lineRule="auto" w:line="276"/>
        <w:jc w:val="both"/>
        <w:rPr/>
      </w:pPr>
      <w:r>
        <w:rPr>
          <w:rFonts w:eastAsia="Times New Roman" w:cs="Times New Roman"/>
          <w:lang w:eastAsia="zh-CN"/>
        </w:rPr>
        <w:t>3. zebranie danych i złożenie wniosków o dotację na wyposażenie gabinetów profilaktyki zdrowotnej w szkołach. Pozyskana kwota 3164,00 zł.</w:t>
      </w:r>
    </w:p>
    <w:p>
      <w:pPr>
        <w:pStyle w:val="Normal"/>
        <w:suppressAutoHyphens w:val="true"/>
        <w:spacing w:lineRule="auto" w:line="276"/>
        <w:jc w:val="both"/>
        <w:rPr/>
      </w:pPr>
      <w:r>
        <w:rPr>
          <w:rFonts w:eastAsia="Times New Roman" w:cs="Times New Roman"/>
          <w:lang w:eastAsia="zh-CN"/>
        </w:rPr>
        <w:t>4. podpisanie umowy i realizacja zadania w ramach Rządowego programu rozwijania szkolnej infrastruktury oraz kompetencji uczniów i nauczycieli w zakresie technologii informacyjno-komunikacyjnych „Aktywna tablica”. Pozyskana kwota 28 000,00 zł dla dwóch szkół: SP Kraszewo i SP Runowo.</w:t>
      </w:r>
    </w:p>
    <w:p>
      <w:pPr>
        <w:pStyle w:val="Normal"/>
        <w:suppressAutoHyphens w:val="true"/>
        <w:spacing w:lineRule="auto" w:line="276"/>
        <w:jc w:val="both"/>
        <w:rPr/>
      </w:pPr>
      <w:r>
        <w:rPr>
          <w:rFonts w:eastAsia="Times New Roman" w:cs="Times New Roman"/>
          <w:lang w:eastAsia="zh-CN"/>
        </w:rPr>
        <w:t>5. rozliczenie udzielonej dotacji na zakup książek do biblioteki szkolnej w Kraszewie w ramach Narodowego Programu Rozwoju Czytelnictwa.</w:t>
      </w:r>
    </w:p>
    <w:p>
      <w:pPr>
        <w:pStyle w:val="Normal"/>
        <w:spacing w:lineRule="auto" w:line="276"/>
        <w:jc w:val="both"/>
        <w:rPr/>
      </w:pPr>
      <w:r>
        <w:rPr>
          <w:rFonts w:eastAsia="Times New Roman" w:cs="Times New Roman"/>
          <w:lang w:eastAsia="zh-CN"/>
        </w:rPr>
        <w:t xml:space="preserve">6. Realizacja przyznanych stypendiów szkolnych </w:t>
      </w:r>
      <w:r>
        <w:rPr>
          <w:rFonts w:cs="Times New Roman"/>
        </w:rPr>
        <w:t>na rok szkolny 2017/2018 w kwocie: 65 860,00 zł (80% dotacji z Budżetu Państwa, 20% wkładu gminy).</w:t>
      </w:r>
    </w:p>
    <w:p>
      <w:pPr>
        <w:pStyle w:val="Normal"/>
        <w:spacing w:lineRule="auto" w:line="360"/>
        <w:jc w:val="both"/>
        <w:rPr>
          <w:rFonts w:cs="Times New Roman"/>
          <w:lang w:eastAsia="pl-PL"/>
        </w:rPr>
      </w:pPr>
      <w:r>
        <w:rPr>
          <w:rFonts w:cs="Times New Roman"/>
          <w:lang w:eastAsia="pl-PL"/>
        </w:rPr>
      </w:r>
    </w:p>
    <w:p>
      <w:pPr>
        <w:pStyle w:val="Normal"/>
        <w:spacing w:lineRule="auto" w:line="360"/>
        <w:jc w:val="both"/>
        <w:rPr/>
      </w:pPr>
      <w:r>
        <w:rPr>
          <w:rFonts w:cs="Times New Roman"/>
          <w:b/>
          <w:u w:val="single"/>
        </w:rPr>
        <w:t>PROMOCJA</w:t>
      </w:r>
    </w:p>
    <w:p>
      <w:pPr>
        <w:pStyle w:val="Normal"/>
        <w:spacing w:lineRule="auto" w:line="276"/>
        <w:rPr/>
      </w:pPr>
      <w:r>
        <w:rPr>
          <w:rFonts w:cs="Times New Roman"/>
        </w:rPr>
        <w:t>1. Zamieszczanie aktualnych informacji na stronie internetowej i facebooku Gminy.</w:t>
      </w:r>
    </w:p>
    <w:p>
      <w:pPr>
        <w:pStyle w:val="Normal"/>
        <w:spacing w:lineRule="auto" w:line="276"/>
        <w:rPr/>
      </w:pPr>
      <w:r>
        <w:rPr>
          <w:rFonts w:cs="Times New Roman"/>
        </w:rPr>
        <w:t>2. Przygotowanie listów gratulacyjnych, podziękowań i statuetek na różne okoliczności.</w:t>
      </w:r>
    </w:p>
    <w:p>
      <w:pPr>
        <w:pStyle w:val="Normal"/>
        <w:spacing w:lineRule="auto" w:line="276"/>
        <w:jc w:val="both"/>
        <w:rPr/>
      </w:pPr>
      <w:r>
        <w:rPr>
          <w:rFonts w:cs="Times New Roman"/>
        </w:rPr>
        <w:t>3. Przygotowanie projektu nowych wzorów gadżetów gminnych.</w:t>
      </w:r>
    </w:p>
    <w:p>
      <w:pPr>
        <w:pStyle w:val="Normal"/>
        <w:spacing w:lineRule="auto" w:line="276"/>
        <w:jc w:val="both"/>
        <w:rPr/>
      </w:pPr>
      <w:r>
        <w:rPr>
          <w:rFonts w:cs="Times New Roman"/>
        </w:rPr>
        <w:t>4.Opracowanie i ogłoszenie konkursu Estetyczna wieś 2018</w:t>
      </w:r>
    </w:p>
    <w:p>
      <w:pPr>
        <w:pStyle w:val="Normal"/>
        <w:spacing w:lineRule="auto" w:line="276"/>
        <w:jc w:val="both"/>
        <w:rPr/>
      </w:pPr>
      <w:r>
        <w:rPr>
          <w:rFonts w:cs="Times New Roman"/>
        </w:rPr>
        <w:t>5. Przygotowanie prezentacji na zebranie z sołtysami organizowane w dn. 9 luty 2018 r.</w:t>
      </w:r>
    </w:p>
    <w:p>
      <w:pPr>
        <w:pStyle w:val="Normal"/>
        <w:spacing w:lineRule="auto" w:line="276"/>
        <w:jc w:val="both"/>
        <w:rPr/>
      </w:pPr>
      <w:r>
        <w:rPr>
          <w:rFonts w:cs="Times New Roman"/>
        </w:rPr>
        <w:t>6. Organizacja wyjazdu sołtysów na wojewódzkie obchody Dnia Sołtysa 9 marca w Ostródzie.</w:t>
      </w:r>
    </w:p>
    <w:p>
      <w:pPr>
        <w:pStyle w:val="Normal"/>
        <w:widowControl/>
        <w:suppressAutoHyphens w:val="true"/>
        <w:bidi w:val="0"/>
        <w:spacing w:lineRule="auto" w:line="276"/>
        <w:ind w:left="0" w:right="0" w:hanging="0"/>
        <w:jc w:val="both"/>
        <w:rPr>
          <w:rFonts w:ascii="Times New Roman" w:hAnsi="Times New Roman" w:cs="Times New Roman"/>
          <w:b/>
          <w:b/>
          <w:sz w:val="24"/>
          <w:szCs w:val="28"/>
          <w:lang w:eastAsia="pl-PL"/>
        </w:rPr>
      </w:pPr>
      <w:r>
        <w:rPr>
          <w:rFonts w:cs="Times New Roman"/>
          <w:b/>
          <w:sz w:val="24"/>
          <w:szCs w:val="28"/>
          <w:lang w:eastAsia="pl-PL"/>
        </w:rPr>
      </w:r>
    </w:p>
    <w:sectPr>
      <w:footerReference w:type="default" r:id="rId7"/>
      <w:type w:val="nextPage"/>
      <w:pgSz w:w="11906" w:h="16838"/>
      <w:pgMar w:left="1418" w:right="851" w:header="0" w:top="1134" w:footer="709" w:bottom="1135"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Segoe UI">
    <w:altName w:val="Arial"/>
    <w:charset w:val="ee"/>
    <w:family w:val="roman"/>
    <w:pitch w:val="variable"/>
  </w:font>
  <w:font w:name="OpenSymbol">
    <w:altName w:val="Arial Unicode MS"/>
    <w:charset w:val="ee"/>
    <w:family w:val="roman"/>
    <w:pitch w:val="variable"/>
  </w:font>
  <w:font w:name="Liberation Sans">
    <w:altName w:val="Arial"/>
    <w:charset w:val="ee"/>
    <w:family w:val="roman"/>
    <w:pitch w:val="variable"/>
  </w:font>
  <w:font w:name="HEKOFD+TimesNewRomanPSMT">
    <w:altName w:val="Times New Roman"/>
    <w:charset w:val="ee"/>
    <w:family w:val="roman"/>
    <w:pitch w:val="variable"/>
  </w:font>
  <w:font w:name="Calibri">
    <w:charset w:val="ee"/>
    <w:family w:val="roman"/>
    <w:pitch w:val="variable"/>
  </w:font>
  <w:font w:name="Times New Roman">
    <w:charset w:val="01"/>
    <w:family w:val="roman"/>
    <w:pitch w:val="variable"/>
  </w:font>
  <w:font w:name="Tahoma">
    <w:charset w:val="ee"/>
    <w:family w:val="swiss"/>
    <w:pitch w:val="variable"/>
  </w:font>
  <w:font w:name="Symbo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mc:AlternateContent>
        <mc:Choice Requires="wps">
          <w:drawing>
            <wp:anchor behindDoc="1" distT="0" distB="0" distL="0" distR="0" simplePos="0" locked="0" layoutInCell="1" allowOverlap="1" relativeHeight="15">
              <wp:simplePos x="0" y="0"/>
              <wp:positionH relativeFrom="margin">
                <wp:align>center</wp:align>
              </wp:positionH>
              <wp:positionV relativeFrom="paragraph">
                <wp:posOffset>-72390</wp:posOffset>
              </wp:positionV>
              <wp:extent cx="290195" cy="264795"/>
              <wp:effectExtent l="0" t="0" r="0" b="0"/>
              <wp:wrapSquare wrapText="largest"/>
              <wp:docPr id="3" name="Ramka1"/>
              <a:graphic xmlns:a="http://schemas.openxmlformats.org/drawingml/2006/main">
                <a:graphicData uri="http://schemas.microsoft.com/office/word/2010/wordprocessingShape">
                  <wps:wsp>
                    <wps:cNvSpPr/>
                    <wps:spPr>
                      <a:xfrm>
                        <a:off x="0" y="0"/>
                        <a:ext cx="289440" cy="264240"/>
                      </a:xfrm>
                      <a:prstGeom prst="rect">
                        <a:avLst/>
                      </a:prstGeom>
                      <a:solidFill>
                        <a:srgbClr val="ffffff"/>
                      </a:solidFill>
                      <a:ln>
                        <a:noFill/>
                      </a:ln>
                    </wps:spPr>
                    <wps:style>
                      <a:lnRef idx="0"/>
                      <a:fillRef idx="0"/>
                      <a:effectRef idx="0"/>
                      <a:fontRef idx="minor"/>
                    </wps:style>
                    <wps:txbx>
                      <w:txbxContent>
                        <w:p>
                          <w:pPr>
                            <w:pStyle w:val="Stopka"/>
                            <w:rPr>
                              <w:color w:val="000000"/>
                            </w:rPr>
                          </w:pPr>
                          <w:r>
                            <w:rPr>
                              <w:color w:val="000000"/>
                            </w:rPr>
                            <w:fldChar w:fldCharType="begin"/>
                          </w:r>
                          <w:r>
                            <w:instrText> PAGE </w:instrText>
                          </w:r>
                          <w:r>
                            <w:fldChar w:fldCharType="separate"/>
                          </w:r>
                          <w:r>
                            <w:t>15</w:t>
                          </w:r>
                          <w:r>
                            <w:fldChar w:fldCharType="end"/>
                          </w:r>
                        </w:p>
                      </w:txbxContent>
                    </wps:txbx>
                    <wps:bodyPr lIns="720" rIns="720" tIns="720" bIns="720">
                      <a:noAutofit/>
                    </wps:bodyPr>
                  </wps:wsp>
                </a:graphicData>
              </a:graphic>
            </wp:anchor>
          </w:drawing>
        </mc:Choice>
        <mc:Fallback>
          <w:pict>
            <v:rect id="shape_0" ID="Ramka1" fillcolor="white" stroked="f" style="position:absolute;margin-left:229.5pt;margin-top:-5.7pt;width:22.75pt;height:20.75pt;mso-position-horizontal:center;mso-position-horizontal-relative:margin">
              <w10:wrap type="square"/>
              <v:fill o:detectmouseclick="t" type="solid" color2="black"/>
              <v:stroke color="#3465a4" joinstyle="round" endcap="flat"/>
              <v:textbox>
                <w:txbxContent>
                  <w:p>
                    <w:pPr>
                      <w:pStyle w:val="Stopka"/>
                      <w:rPr>
                        <w:color w:val="000000"/>
                      </w:rPr>
                    </w:pPr>
                    <w:r>
                      <w:rPr>
                        <w:color w:val="000000"/>
                      </w:rPr>
                      <w:fldChar w:fldCharType="begin"/>
                    </w:r>
                    <w:r>
                      <w:instrText> PAGE </w:instrText>
                    </w:r>
                    <w:r>
                      <w:fldChar w:fldCharType="separate"/>
                    </w:r>
                    <w:r>
                      <w:t>15</w:t>
                    </w:r>
                    <w: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mc:AlternateContent>
        <mc:Choice Requires="wps">
          <w:drawing>
            <wp:anchor behindDoc="1" distT="0" distB="0" distL="0" distR="0" simplePos="0" locked="0" layoutInCell="1" allowOverlap="1" relativeHeight="15">
              <wp:simplePos x="0" y="0"/>
              <wp:positionH relativeFrom="margin">
                <wp:align>center</wp:align>
              </wp:positionH>
              <wp:positionV relativeFrom="paragraph">
                <wp:posOffset>-72390</wp:posOffset>
              </wp:positionV>
              <wp:extent cx="290195" cy="264795"/>
              <wp:effectExtent l="0" t="0" r="0" b="0"/>
              <wp:wrapSquare wrapText="largest"/>
              <wp:docPr id="5" name="Ramka1"/>
              <a:graphic xmlns:a="http://schemas.openxmlformats.org/drawingml/2006/main">
                <a:graphicData uri="http://schemas.microsoft.com/office/word/2010/wordprocessingShape">
                  <wps:wsp>
                    <wps:cNvSpPr/>
                    <wps:spPr>
                      <a:xfrm>
                        <a:off x="0" y="0"/>
                        <a:ext cx="289440" cy="264240"/>
                      </a:xfrm>
                      <a:prstGeom prst="rect">
                        <a:avLst/>
                      </a:prstGeom>
                      <a:solidFill>
                        <a:srgbClr val="ffffff"/>
                      </a:solidFill>
                      <a:ln>
                        <a:noFill/>
                      </a:ln>
                    </wps:spPr>
                    <wps:style>
                      <a:lnRef idx="0"/>
                      <a:fillRef idx="0"/>
                      <a:effectRef idx="0"/>
                      <a:fontRef idx="minor"/>
                    </wps:style>
                    <wps:txbx>
                      <w:txbxContent>
                        <w:p>
                          <w:pPr>
                            <w:pStyle w:val="Stopka"/>
                            <w:rPr>
                              <w:color w:val="000000"/>
                            </w:rPr>
                          </w:pPr>
                          <w:r>
                            <w:rPr>
                              <w:color w:val="000000"/>
                            </w:rPr>
                            <w:fldChar w:fldCharType="begin"/>
                          </w:r>
                          <w:r>
                            <w:instrText> PAGE </w:instrText>
                          </w:r>
                          <w:r>
                            <w:fldChar w:fldCharType="separate"/>
                          </w:r>
                          <w:r>
                            <w:t>15</w:t>
                          </w:r>
                          <w:r>
                            <w:fldChar w:fldCharType="end"/>
                          </w:r>
                        </w:p>
                      </w:txbxContent>
                    </wps:txbx>
                    <wps:bodyPr lIns="720" rIns="720" tIns="720" bIns="720">
                      <a:noAutofit/>
                    </wps:bodyPr>
                  </wps:wsp>
                </a:graphicData>
              </a:graphic>
            </wp:anchor>
          </w:drawing>
        </mc:Choice>
        <mc:Fallback>
          <w:pict>
            <v:rect id="shape_0" ID="Ramka1" fillcolor="white" stroked="f" style="position:absolute;margin-left:229.5pt;margin-top:-5.7pt;width:22.75pt;height:20.75pt;mso-position-horizontal:center;mso-position-horizontal-relative:margin">
              <w10:wrap type="square"/>
              <v:fill o:detectmouseclick="t" type="solid" color2="black"/>
              <v:stroke color="#3465a4" joinstyle="round" endcap="flat"/>
              <v:textbox>
                <w:txbxContent>
                  <w:p>
                    <w:pPr>
                      <w:pStyle w:val="Stopka"/>
                      <w:rPr>
                        <w:color w:val="000000"/>
                      </w:rPr>
                    </w:pPr>
                    <w:r>
                      <w:rPr>
                        <w:color w:val="000000"/>
                      </w:rPr>
                      <w:fldChar w:fldCharType="begin"/>
                    </w:r>
                    <w:r>
                      <w:instrText> PAGE </w:instrText>
                    </w:r>
                    <w:r>
                      <w:fldChar w:fldCharType="separate"/>
                    </w:r>
                    <w:r>
                      <w:t>15</w:t>
                    </w:r>
                    <w:r>
                      <w:fldChar w:fldCharType="end"/>
                    </w:r>
                  </w:p>
                </w:txbxContent>
              </v:textbox>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mc:AlternateContent>
        <mc:Choice Requires="wps">
          <w:drawing>
            <wp:anchor behindDoc="1" distT="0" distB="0" distL="0" distR="0" simplePos="0" locked="0" layoutInCell="1" allowOverlap="1" relativeHeight="15">
              <wp:simplePos x="0" y="0"/>
              <wp:positionH relativeFrom="margin">
                <wp:align>center</wp:align>
              </wp:positionH>
              <wp:positionV relativeFrom="paragraph">
                <wp:posOffset>-72390</wp:posOffset>
              </wp:positionV>
              <wp:extent cx="290195" cy="264795"/>
              <wp:effectExtent l="0" t="0" r="0" b="0"/>
              <wp:wrapSquare wrapText="largest"/>
              <wp:docPr id="7" name="Ramka1"/>
              <a:graphic xmlns:a="http://schemas.openxmlformats.org/drawingml/2006/main">
                <a:graphicData uri="http://schemas.microsoft.com/office/word/2010/wordprocessingShape">
                  <wps:wsp>
                    <wps:cNvSpPr/>
                    <wps:spPr>
                      <a:xfrm>
                        <a:off x="0" y="0"/>
                        <a:ext cx="289440" cy="264240"/>
                      </a:xfrm>
                      <a:prstGeom prst="rect">
                        <a:avLst/>
                      </a:prstGeom>
                      <a:solidFill>
                        <a:srgbClr val="ffffff"/>
                      </a:solidFill>
                      <a:ln>
                        <a:noFill/>
                      </a:ln>
                    </wps:spPr>
                    <wps:style>
                      <a:lnRef idx="0"/>
                      <a:fillRef idx="0"/>
                      <a:effectRef idx="0"/>
                      <a:fontRef idx="minor"/>
                    </wps:style>
                    <wps:txbx>
                      <w:txbxContent>
                        <w:p>
                          <w:pPr>
                            <w:pStyle w:val="Stopka"/>
                            <w:rPr>
                              <w:color w:val="000000"/>
                            </w:rPr>
                          </w:pPr>
                          <w:r>
                            <w:rPr>
                              <w:color w:val="000000"/>
                            </w:rPr>
                            <w:fldChar w:fldCharType="begin"/>
                          </w:r>
                          <w:r>
                            <w:instrText> PAGE </w:instrText>
                          </w:r>
                          <w:r>
                            <w:fldChar w:fldCharType="separate"/>
                          </w:r>
                          <w:r>
                            <w:t>15</w:t>
                          </w:r>
                          <w:r>
                            <w:fldChar w:fldCharType="end"/>
                          </w:r>
                        </w:p>
                      </w:txbxContent>
                    </wps:txbx>
                    <wps:bodyPr lIns="720" rIns="720" tIns="720" bIns="720">
                      <a:noAutofit/>
                    </wps:bodyPr>
                  </wps:wsp>
                </a:graphicData>
              </a:graphic>
            </wp:anchor>
          </w:drawing>
        </mc:Choice>
        <mc:Fallback>
          <w:pict>
            <v:rect id="shape_0" ID="Ramka1" fillcolor="white" stroked="f" style="position:absolute;margin-left:229.5pt;margin-top:-5.7pt;width:22.75pt;height:20.75pt;mso-position-horizontal:center;mso-position-horizontal-relative:margin">
              <w10:wrap type="square"/>
              <v:fill o:detectmouseclick="t" type="solid" color2="black"/>
              <v:stroke color="#3465a4" joinstyle="round" endcap="flat"/>
              <v:textbox>
                <w:txbxContent>
                  <w:p>
                    <w:pPr>
                      <w:pStyle w:val="Stopka"/>
                      <w:rPr>
                        <w:color w:val="000000"/>
                      </w:rPr>
                    </w:pPr>
                    <w:r>
                      <w:rPr>
                        <w:color w:val="000000"/>
                      </w:rPr>
                      <w:fldChar w:fldCharType="begin"/>
                    </w:r>
                    <w:r>
                      <w:instrText> PAGE </w:instrText>
                    </w:r>
                    <w:r>
                      <w:fldChar w:fldCharType="separate"/>
                    </w:r>
                    <w:r>
                      <w:t>15</w:t>
                    </w:r>
                    <w: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none"/>
      <w:suff w:val="nothing"/>
      <w:lvlText w:val=""/>
      <w:lvlJc w:val="left"/>
      <w:pPr>
        <w:ind w:left="0" w:hanging="0"/>
      </w:pPr>
      <w:rPr>
        <w:sz w:val="24"/>
        <w:b/>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0" w:hanging="0"/>
      </w:pPr>
      <w:rPr>
        <w:sz w:val="24"/>
        <w:b/>
        <w:szCs w:val="24"/>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decimal"/>
      <w:lvlText w:val="%1."/>
      <w:lvlJc w:val="left"/>
      <w:pPr>
        <w:tabs>
          <w:tab w:val="num" w:pos="360"/>
        </w:tabs>
        <w:ind w:left="360" w:hanging="360"/>
      </w:pPr>
      <w:rPr>
        <w:sz w:val="24"/>
        <w:i w:val="false"/>
        <w:b/>
        <w:szCs w:val="24"/>
        <w:iCs w:val="false"/>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360"/>
        </w:tabs>
        <w:ind w:left="360" w:hanging="360"/>
      </w:pPr>
      <w:rPr>
        <w:rFonts w:ascii="Symbol" w:hAnsi="Symbol" w:cs="Symbol"/>
      </w:rPr>
    </w:lvl>
  </w:abstractNum>
  <w:abstractNum w:abstractNumId="5">
    <w:lvl w:ilvl="0">
      <w:start w:val="1"/>
      <w:numFmt w:val="decimal"/>
      <w:lvlText w:val="%1."/>
      <w:lvlJc w:val="left"/>
      <w:pPr>
        <w:tabs>
          <w:tab w:val="num" w:pos="360"/>
        </w:tabs>
        <w:ind w:left="360" w:hanging="360"/>
      </w:pPr>
      <w:rPr>
        <w:rFonts w:cs="Times New Roman"/>
      </w:rPr>
    </w:lvl>
  </w:abstractNum>
  <w:abstractNum w:abstractNumId="6">
    <w:lvl w:ilvl="0">
      <w:start w:val="1"/>
      <w:numFmt w:val="bullet"/>
      <w:lvlText w:val=""/>
      <w:lvlJc w:val="left"/>
      <w:pPr>
        <w:tabs>
          <w:tab w:val="num" w:pos="360"/>
        </w:tabs>
        <w:ind w:left="360" w:hanging="360"/>
      </w:pPr>
      <w:rPr>
        <w:rFonts w:ascii="Symbol" w:hAnsi="Symbol" w:cs="Symbol" w:hint="default"/>
        <w:rFonts w:cs="Times New Roman"/>
      </w:rPr>
    </w:lvl>
  </w:abstractNum>
  <w:abstractNum w:abstractNumId="7">
    <w:lvl w:ilvl="0">
      <w:start w:val="1"/>
      <w:numFmt w:val="bullet"/>
      <w:lvlText w:val=""/>
      <w:lvlJc w:val="left"/>
      <w:pPr>
        <w:tabs>
          <w:tab w:val="num" w:pos="360"/>
        </w:tabs>
        <w:ind w:left="360" w:hanging="360"/>
      </w:pPr>
      <w:rPr>
        <w:rFonts w:ascii="Symbol" w:hAnsi="Symbol" w:cs="Symbol" w:hint="default"/>
      </w:r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9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sz w:val="20"/>
      <w:szCs w:val="20"/>
      <w:lang w:val="pl-PL" w:eastAsia="zh-CN" w:bidi="ar-SA"/>
    </w:rPr>
  </w:style>
  <w:style w:type="paragraph" w:styleId="Nagwek1">
    <w:name w:val="Heading 1"/>
    <w:basedOn w:val="Normal"/>
    <w:next w:val="Normal"/>
    <w:qFormat/>
    <w:pPr>
      <w:keepNext/>
      <w:numPr>
        <w:ilvl w:val="0"/>
        <w:numId w:val="1"/>
      </w:numPr>
      <w:outlineLvl w:val="0"/>
      <w:outlineLvl w:val="0"/>
    </w:pPr>
    <w:rPr>
      <w:sz w:val="24"/>
    </w:rPr>
  </w:style>
  <w:style w:type="character" w:styleId="WW8Num1z0">
    <w:name w:val="WW8Num1z0"/>
    <w:qFormat/>
    <w:rPr>
      <w:b/>
      <w:sz w:val="24"/>
      <w:szCs w:val="24"/>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b/>
      <w:i w:val="false"/>
      <w:iCs w:val="false"/>
      <w:color w:val="000000"/>
      <w:sz w:val="24"/>
      <w:szCs w:val="24"/>
    </w:rPr>
  </w:style>
  <w:style w:type="character" w:styleId="WW8Num3z0">
    <w:name w:val="WW8Num3z0"/>
    <w:qFormat/>
    <w:rPr>
      <w:rFonts w:eastAsia="Calibri"/>
      <w:b/>
      <w:sz w:val="16"/>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lang w:eastAsia="pl-PL"/>
    </w:rPr>
  </w:style>
  <w:style w:type="character" w:styleId="WW8Num5z0">
    <w:name w:val="WW8Num5z0"/>
    <w:qFormat/>
    <w:rPr>
      <w:rFonts w:ascii="Liberation Serif;Times New Roman" w:hAnsi="Liberation Serif;Times New Roman" w:cs="Liberation Serif;Times New Roman"/>
      <w:b/>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6z0">
    <w:name w:val="WW8Num6z0"/>
    <w:qFormat/>
    <w:rPr>
      <w:rFonts w:ascii="Symbol" w:hAnsi="Symbol" w:cs="Symbol"/>
    </w:rPr>
  </w:style>
  <w:style w:type="character" w:styleId="WW8Num7z0">
    <w:name w:val="WW8Num7z0"/>
    <w:qFormat/>
    <w:rPr>
      <w:b/>
    </w:rPr>
  </w:style>
  <w:style w:type="character" w:styleId="WW8Num8z0">
    <w:name w:val="WW8Num8z0"/>
    <w:qFormat/>
    <w:rPr>
      <w:lang w:eastAsia="pl-PL"/>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Domylnaczcionkaakapitu">
    <w:name w:val="Domyślna czcionka akapitu"/>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Domylnaczcionkaakapitu2">
    <w:name w:val="Domyślna czcionka akapitu2"/>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cs="Times New Roman"/>
    </w:rPr>
  </w:style>
  <w:style w:type="character" w:styleId="WW8Num11z1">
    <w:name w:val="WW8Num11z1"/>
    <w:qFormat/>
    <w:rPr>
      <w:rFonts w:ascii="Symbol" w:hAnsi="Symbol" w:cs="Symbol"/>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cs="Times New Roman"/>
    </w:rPr>
  </w:style>
  <w:style w:type="character" w:styleId="WW8Num12z1">
    <w:name w:val="WW8Num12z1"/>
    <w:qFormat/>
    <w:rPr/>
  </w:style>
  <w:style w:type="character" w:styleId="WW8Num12z2">
    <w:name w:val="WW8Num12z2"/>
    <w:qFormat/>
    <w:rPr>
      <w:rFonts w:cs="Times New Roman"/>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b w:val="false"/>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b w:val="false"/>
      <w:color w:val="000000"/>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b w:val="false"/>
      <w:color w:val="000000"/>
      <w:sz w:val="24"/>
      <w:szCs w:val="24"/>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rFonts w:ascii="Wingdings" w:hAnsi="Wingdings" w:cs="Wingdings"/>
    </w:rPr>
  </w:style>
  <w:style w:type="character" w:styleId="WW8Num21z1">
    <w:name w:val="WW8Num21z1"/>
    <w:qFormat/>
    <w:rPr>
      <w:rFonts w:ascii="Courier New" w:hAnsi="Courier New" w:cs="Courier New"/>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rFonts w:cs="Times New Roman"/>
    </w:rPr>
  </w:style>
  <w:style w:type="character" w:styleId="WW8Num27z1">
    <w:name w:val="WW8Num27z1"/>
    <w:qFormat/>
    <w:rPr>
      <w:rFonts w:cs="Times New Roman"/>
    </w:rPr>
  </w:style>
  <w:style w:type="character" w:styleId="WW8Num28z0">
    <w:name w:val="WW8Num28z0"/>
    <w:qFormat/>
    <w:rPr>
      <w:rFonts w:ascii="Wingdings" w:hAnsi="Wingdings" w:cs="Wingdings"/>
    </w:rPr>
  </w:style>
  <w:style w:type="character" w:styleId="WW8Num28z1">
    <w:name w:val="WW8Num28z1"/>
    <w:qFormat/>
    <w:rPr>
      <w:rFonts w:ascii="Courier New" w:hAnsi="Courier New" w:cs="Courier New"/>
    </w:rPr>
  </w:style>
  <w:style w:type="character" w:styleId="WW8Num28z3">
    <w:name w:val="WW8Num28z3"/>
    <w:qFormat/>
    <w:rPr>
      <w:rFonts w:ascii="Symbol" w:hAnsi="Symbol" w:cs="Symbol"/>
    </w:rPr>
  </w:style>
  <w:style w:type="character" w:styleId="WW8Num29z0">
    <w:name w:val="WW8Num29z0"/>
    <w:qFormat/>
    <w:rPr>
      <w:b/>
    </w:rPr>
  </w:style>
  <w:style w:type="character" w:styleId="WW8Num29z1">
    <w:name w:val="WW8Num29z1"/>
    <w:qFormat/>
    <w:rPr>
      <w:rFonts w:ascii="Symbol" w:hAnsi="Symbol" w:cs="Symbol"/>
      <w:b/>
      <w:color w:val="000000"/>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b/>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b/>
      <w:color w:val="000000"/>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Domylnaczcionkaakapitu1">
    <w:name w:val="Domyślna czcionka akapitu1"/>
    <w:qFormat/>
    <w:rPr/>
  </w:style>
  <w:style w:type="character" w:styleId="Mocnowyrniony">
    <w:name w:val="Mocno wyróżniony"/>
    <w:qFormat/>
    <w:rPr>
      <w:b/>
      <w:bCs/>
    </w:rPr>
  </w:style>
  <w:style w:type="character" w:styleId="Wyrnienie">
    <w:name w:val="Wyróżnienie"/>
    <w:qFormat/>
    <w:rPr>
      <w:i/>
      <w:iCs/>
    </w:rPr>
  </w:style>
  <w:style w:type="character" w:styleId="Numerstron">
    <w:name w:val="Numer stron"/>
    <w:basedOn w:val="Domylnaczcionkaakapitu1"/>
    <w:rPr/>
  </w:style>
  <w:style w:type="character" w:styleId="ZnakZnak2">
    <w:name w:val=" Znak Znak2"/>
    <w:qFormat/>
    <w:rPr>
      <w:sz w:val="28"/>
    </w:rPr>
  </w:style>
  <w:style w:type="character" w:styleId="ZnakZnak1">
    <w:name w:val=" Znak Znak1"/>
    <w:qFormat/>
    <w:rPr>
      <w:sz w:val="16"/>
      <w:szCs w:val="16"/>
    </w:rPr>
  </w:style>
  <w:style w:type="character" w:styleId="ZnakZnak">
    <w:name w:val=" Znak Znak"/>
    <w:qFormat/>
    <w:rPr>
      <w:rFonts w:ascii="Segoe UI;Arial" w:hAnsi="Segoe UI;Arial" w:cs="Segoe UI;Arial"/>
      <w:sz w:val="18"/>
      <w:szCs w:val="18"/>
    </w:rPr>
  </w:style>
  <w:style w:type="character" w:styleId="Znakiprzypiswdolnych">
    <w:name w:val="Znaki przypisów dolnych"/>
    <w:qFormat/>
    <w:rPr>
      <w:vertAlign w:val="superscript"/>
    </w:rPr>
  </w:style>
  <w:style w:type="character" w:styleId="Odwoaniedokomentarza1">
    <w:name w:val="Odwołanie do komentarza1"/>
    <w:qFormat/>
    <w:rPr>
      <w:sz w:val="16"/>
      <w:szCs w:val="16"/>
    </w:rPr>
  </w:style>
  <w:style w:type="character" w:styleId="Znakiprzypiswkocowych">
    <w:name w:val="Znaki przypisów końcowych"/>
    <w:qFormat/>
    <w:rPr>
      <w:vertAlign w:val="superscript"/>
    </w:rPr>
  </w:style>
  <w:style w:type="character" w:styleId="Czeinternetowe">
    <w:name w:val="Łącze internetowe"/>
    <w:rPr>
      <w:color w:val="0000FF"/>
      <w:u w:val="single"/>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Znakiwypunktowania">
    <w:name w:val="Znaki wypunktowania"/>
    <w:qFormat/>
    <w:rPr>
      <w:rFonts w:ascii="OpenSymbol;Arial Unicode MS" w:hAnsi="OpenSymbol;Arial Unicode MS" w:eastAsia="OpenSymbol;Arial Unicode MS" w:cs="OpenSymbol;Arial Unicode MS"/>
    </w:rPr>
  </w:style>
  <w:style w:type="character" w:styleId="ListLabel1">
    <w:name w:val="ListLabel 1"/>
    <w:qFormat/>
    <w:rPr>
      <w:rFonts w:eastAsia="Calibri"/>
      <w:b/>
    </w:rPr>
  </w:style>
  <w:style w:type="character" w:styleId="DefaultParagraphFont">
    <w:name w:val="Default Paragraph Font"/>
    <w:qFormat/>
    <w:rPr/>
  </w:style>
  <w:style w:type="character" w:styleId="ListLabel2">
    <w:name w:val="ListLabel 2"/>
    <w:qFormat/>
    <w:rPr>
      <w:b/>
      <w:sz w:val="24"/>
      <w:szCs w:val="24"/>
    </w:rPr>
  </w:style>
  <w:style w:type="character" w:styleId="ListLabel3">
    <w:name w:val="ListLabel 3"/>
    <w:qFormat/>
    <w:rPr>
      <w:b/>
      <w:i w:val="false"/>
      <w:iCs w:val="false"/>
      <w:color w:val="000000"/>
      <w:sz w:val="24"/>
      <w:szCs w:val="24"/>
    </w:rPr>
  </w:style>
  <w:style w:type="character" w:styleId="ListLabel4">
    <w:name w:val="ListLabel 4"/>
    <w:qFormat/>
    <w:rPr>
      <w:b/>
      <w:sz w:val="24"/>
      <w:szCs w:val="24"/>
    </w:rPr>
  </w:style>
  <w:style w:type="character" w:styleId="ListLabel5">
    <w:name w:val="ListLabel 5"/>
    <w:qFormat/>
    <w:rPr>
      <w:b/>
      <w:sz w:val="24"/>
      <w:szCs w:val="24"/>
    </w:rPr>
  </w:style>
  <w:style w:type="character" w:styleId="ListLabel6">
    <w:name w:val="ListLabel 6"/>
    <w:qFormat/>
    <w:rPr>
      <w:b/>
      <w:i w:val="false"/>
      <w:iCs w:val="false"/>
      <w:color w:val="000000"/>
      <w:sz w:val="24"/>
      <w:szCs w:val="24"/>
    </w:rPr>
  </w:style>
  <w:style w:type="character" w:styleId="ListLabel7">
    <w:name w:val="ListLabel 7"/>
    <w:qFormat/>
    <w:rPr>
      <w:b/>
      <w:sz w:val="24"/>
      <w:szCs w:val="24"/>
    </w:rPr>
  </w:style>
  <w:style w:type="character" w:styleId="ListLabel8">
    <w:name w:val="ListLabel 8"/>
    <w:qFormat/>
    <w:rPr>
      <w:b/>
      <w:sz w:val="24"/>
      <w:szCs w:val="24"/>
    </w:rPr>
  </w:style>
  <w:style w:type="character" w:styleId="ListLabel9">
    <w:name w:val="ListLabel 9"/>
    <w:qFormat/>
    <w:rPr>
      <w:b/>
      <w:i w:val="false"/>
      <w:iCs w:val="false"/>
      <w:color w:val="000000"/>
      <w:sz w:val="24"/>
      <w:szCs w:val="24"/>
    </w:rPr>
  </w:style>
  <w:style w:type="character" w:styleId="ListLabel10">
    <w:name w:val="ListLabel 10"/>
    <w:qFormat/>
    <w:rPr>
      <w:b/>
      <w:sz w:val="24"/>
      <w:szCs w:val="24"/>
    </w:rPr>
  </w:style>
  <w:style w:type="character" w:styleId="ListLabel11">
    <w:name w:val="ListLabel 11"/>
    <w:qFormat/>
    <w:rPr>
      <w:b/>
      <w:sz w:val="24"/>
      <w:szCs w:val="24"/>
    </w:rPr>
  </w:style>
  <w:style w:type="character" w:styleId="ListLabel12">
    <w:name w:val="ListLabel 12"/>
    <w:qFormat/>
    <w:rPr>
      <w:b/>
      <w:i w:val="false"/>
      <w:iCs w:val="false"/>
      <w:color w:val="000000"/>
      <w:sz w:val="24"/>
      <w:szCs w:val="24"/>
    </w:rPr>
  </w:style>
  <w:style w:type="character" w:styleId="ListLabel13">
    <w:name w:val="ListLabel 13"/>
    <w:qFormat/>
    <w:rPr>
      <w:b/>
      <w:sz w:val="24"/>
      <w:szCs w:val="24"/>
    </w:rPr>
  </w:style>
  <w:style w:type="character" w:styleId="ListLabel14">
    <w:name w:val="ListLabel 14"/>
    <w:qFormat/>
    <w:rPr>
      <w:b/>
      <w:sz w:val="24"/>
      <w:szCs w:val="24"/>
    </w:rPr>
  </w:style>
  <w:style w:type="character" w:styleId="ListLabel15">
    <w:name w:val="ListLabel 15"/>
    <w:qFormat/>
    <w:rPr>
      <w:b/>
      <w:i w:val="false"/>
      <w:iCs w:val="false"/>
      <w:color w:val="000000"/>
      <w:sz w:val="24"/>
      <w:szCs w:val="24"/>
    </w:rPr>
  </w:style>
  <w:style w:type="paragraph" w:styleId="Nagwek">
    <w:name w:val="Nagłówek"/>
    <w:basedOn w:val="Normal"/>
    <w:next w:val="Tretekstu"/>
    <w:qFormat/>
    <w:pPr>
      <w:keepNext/>
      <w:spacing w:before="240" w:after="120"/>
    </w:pPr>
    <w:rPr>
      <w:rFonts w:ascii="Liberation Sans;Arial" w:hAnsi="Liberation Sans;Arial"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Mangal"/>
    </w:rPr>
  </w:style>
  <w:style w:type="paragraph" w:styleId="Nagwek2">
    <w:name w:val="Nagłówek2"/>
    <w:basedOn w:val="Normal"/>
    <w:qFormat/>
    <w:pPr>
      <w:keepNext/>
      <w:spacing w:before="240" w:after="120"/>
    </w:pPr>
    <w:rPr>
      <w:rFonts w:ascii="Liberation Sans;Arial" w:hAnsi="Liberation Sans;Arial" w:eastAsia="Microsoft YaHei" w:cs="Arial"/>
      <w:sz w:val="28"/>
      <w:szCs w:val="28"/>
    </w:rPr>
  </w:style>
  <w:style w:type="paragraph" w:styleId="Legenda">
    <w:name w:val="Legenda"/>
    <w:basedOn w:val="Normal"/>
    <w:qFormat/>
    <w:pPr>
      <w:suppressLineNumbers/>
      <w:spacing w:before="120" w:after="120"/>
    </w:pPr>
    <w:rPr>
      <w:rFonts w:cs="Arial"/>
      <w:i/>
      <w:iCs/>
      <w:sz w:val="24"/>
      <w:szCs w:val="24"/>
    </w:rPr>
  </w:style>
  <w:style w:type="paragraph" w:styleId="Nagwek11">
    <w:name w:val="Nagłówek1"/>
    <w:basedOn w:val="Normal"/>
    <w:qFormat/>
    <w:pPr>
      <w:keepNext/>
      <w:spacing w:before="240" w:after="120"/>
    </w:pPr>
    <w:rPr>
      <w:rFonts w:ascii="Liberation Sans;Arial" w:hAnsi="Liberation Sans;Arial" w:eastAsia="Microsoft YaHei" w:cs="Mangal"/>
      <w:sz w:val="28"/>
      <w:szCs w:val="28"/>
    </w:rPr>
  </w:style>
  <w:style w:type="paragraph" w:styleId="Legenda1">
    <w:name w:val="Legenda1"/>
    <w:basedOn w:val="Normal"/>
    <w:qFormat/>
    <w:pPr>
      <w:suppressLineNumbers/>
      <w:spacing w:before="120" w:after="120"/>
    </w:pPr>
    <w:rPr>
      <w:rFonts w:cs="Mangal"/>
      <w:i/>
      <w:iCs/>
      <w:sz w:val="24"/>
      <w:szCs w:val="24"/>
    </w:rPr>
  </w:style>
  <w:style w:type="paragraph" w:styleId="Wcicietrecitekstu">
    <w:name w:val="Body Text Indent"/>
    <w:basedOn w:val="Normal"/>
    <w:pPr>
      <w:ind w:left="708" w:right="0" w:hanging="0"/>
      <w:jc w:val="both"/>
    </w:pPr>
    <w:rPr>
      <w:sz w:val="28"/>
    </w:rPr>
  </w:style>
  <w:style w:type="paragraph" w:styleId="Tekstpodstawowy31">
    <w:name w:val="Tekst podstawowy 31"/>
    <w:basedOn w:val="Normal"/>
    <w:qFormat/>
    <w:pPr/>
    <w:rPr>
      <w:b/>
      <w:i/>
      <w:sz w:val="28"/>
    </w:rPr>
  </w:style>
  <w:style w:type="paragraph" w:styleId="NormalnyWeb">
    <w:name w:val="Normalny (Web)"/>
    <w:basedOn w:val="Normal"/>
    <w:qFormat/>
    <w:pPr>
      <w:spacing w:before="280" w:after="280"/>
    </w:pPr>
    <w:rPr>
      <w:sz w:val="24"/>
      <w:szCs w:val="24"/>
    </w:rPr>
  </w:style>
  <w:style w:type="paragraph" w:styleId="Tekstpodstawowywcity31">
    <w:name w:val="Tekst podstawowy wcięty 31"/>
    <w:basedOn w:val="Normal"/>
    <w:qFormat/>
    <w:pPr>
      <w:spacing w:before="0" w:after="120"/>
      <w:ind w:left="283" w:right="0" w:hanging="0"/>
    </w:pPr>
    <w:rPr>
      <w:sz w:val="16"/>
      <w:szCs w:val="16"/>
    </w:rPr>
  </w:style>
  <w:style w:type="paragraph" w:styleId="Stopka">
    <w:name w:val="Footer"/>
    <w:basedOn w:val="Normal"/>
    <w:pPr>
      <w:tabs>
        <w:tab w:val="center" w:pos="4536" w:leader="none"/>
        <w:tab w:val="right" w:pos="9072" w:leader="none"/>
      </w:tabs>
    </w:pPr>
    <w:rPr/>
  </w:style>
  <w:style w:type="paragraph" w:styleId="Tekstdymka">
    <w:name w:val="Tekst dymka"/>
    <w:basedOn w:val="Normal"/>
    <w:qFormat/>
    <w:pPr/>
    <w:rPr>
      <w:rFonts w:ascii="Segoe UI;Arial" w:hAnsi="Segoe UI;Arial" w:cs="Segoe UI;Arial"/>
      <w:sz w:val="18"/>
      <w:szCs w:val="18"/>
    </w:rPr>
  </w:style>
  <w:style w:type="paragraph" w:styleId="Domy">
    <w:name w:val="Domy"/>
    <w:qFormat/>
    <w:pPr>
      <w:widowControl w:val="false"/>
      <w:suppressAutoHyphens w:val="true"/>
      <w:bidi w:val="0"/>
      <w:jc w:val="left"/>
    </w:pPr>
    <w:rPr>
      <w:rFonts w:ascii="Times New Roman" w:hAnsi="Times New Roman" w:eastAsia="Times New Roman" w:cs="Times New Roman"/>
      <w:color w:val="00000A"/>
      <w:sz w:val="24"/>
      <w:szCs w:val="20"/>
      <w:lang w:val="pl-PL" w:eastAsia="zh-CN" w:bidi="ar-SA"/>
    </w:rPr>
  </w:style>
  <w:style w:type="paragraph" w:styleId="Przypisdolny">
    <w:name w:val="Footnote Text"/>
    <w:basedOn w:val="Normal"/>
    <w:pPr/>
    <w:rPr/>
  </w:style>
  <w:style w:type="paragraph" w:styleId="Default">
    <w:name w:val="Default"/>
    <w:qFormat/>
    <w:pPr>
      <w:widowControl/>
      <w:suppressAutoHyphens w:val="true"/>
      <w:bidi w:val="0"/>
      <w:jc w:val="left"/>
    </w:pPr>
    <w:rPr>
      <w:rFonts w:ascii="HEKOFD+TimesNewRomanPSMT;Times New Roman" w:hAnsi="HEKOFD+TimesNewRomanPSMT;Times New Roman" w:eastAsia="Times New Roman" w:cs="HEKOFD+TimesNewRomanPSMT;Times New Roman"/>
      <w:color w:val="000000"/>
      <w:sz w:val="24"/>
      <w:szCs w:val="24"/>
      <w:lang w:val="pl-PL" w:eastAsia="zh-CN" w:bidi="ar-SA"/>
    </w:rPr>
  </w:style>
  <w:style w:type="paragraph" w:styleId="Tekstkomentarza1">
    <w:name w:val="Tekst komentarza1"/>
    <w:basedOn w:val="Normal"/>
    <w:qFormat/>
    <w:pPr/>
    <w:rPr/>
  </w:style>
  <w:style w:type="paragraph" w:styleId="Tematkomentarza">
    <w:name w:val="Temat komentarza"/>
    <w:basedOn w:val="Tekstkomentarza1"/>
    <w:qFormat/>
    <w:pPr/>
    <w:rPr>
      <w:b/>
      <w:bCs/>
    </w:rPr>
  </w:style>
  <w:style w:type="paragraph" w:styleId="EndnoteSymbol">
    <w:name w:val="Endnote Symbol"/>
    <w:basedOn w:val="Normal"/>
    <w:qFormat/>
    <w:pPr/>
    <w:rPr/>
  </w:style>
  <w:style w:type="paragraph" w:styleId="Akapitzlist">
    <w:name w:val="Akapit z listą"/>
    <w:basedOn w:val="Normal"/>
    <w:qFormat/>
    <w:pPr>
      <w:spacing w:before="0" w:after="0"/>
      <w:ind w:left="720" w:right="0" w:hanging="0"/>
      <w:contextualSpacing/>
    </w:pPr>
    <w:rPr>
      <w:rFonts w:eastAsia="Calibri" w:cs="Arial"/>
      <w:sz w:val="24"/>
      <w:szCs w:val="24"/>
    </w:rPr>
  </w:style>
  <w:style w:type="paragraph" w:styleId="Domynie">
    <w:name w:val="Domy徑nie"/>
    <w:qFormat/>
    <w:pPr>
      <w:widowControl w:val="false"/>
      <w:suppressAutoHyphens w:val="true"/>
      <w:bidi w:val="0"/>
      <w:spacing w:lineRule="auto" w:line="276" w:before="0" w:after="200"/>
      <w:jc w:val="left"/>
    </w:pPr>
    <w:rPr>
      <w:rFonts w:ascii="Calibri" w:hAnsi="Calibri" w:eastAsia="Times New Roman" w:cs="Calibri"/>
      <w:color w:val="00000A"/>
      <w:sz w:val="22"/>
      <w:szCs w:val="22"/>
      <w:lang w:val="pl-PL" w:eastAsia="zh-CN" w:bidi="hi-IN"/>
    </w:rPr>
  </w:style>
  <w:style w:type="paragraph" w:styleId="Zawartoramki">
    <w:name w:val="Zawartość ramki"/>
    <w:basedOn w:val="Normal"/>
    <w:qFormat/>
    <w:pPr/>
    <w:rPr/>
  </w:style>
  <w:style w:type="paragraph" w:styleId="ListParagraph">
    <w:name w:val="List Paragraph"/>
    <w:basedOn w:val="Normal"/>
    <w:qFormat/>
    <w:pPr>
      <w:spacing w:before="0" w:after="0"/>
      <w:ind w:left="720" w:right="0" w:hanging="0"/>
      <w:contextualSpacing/>
    </w:pPr>
    <w:rPr/>
  </w:style>
  <w:style w:type="numbering" w:styleId="WW8Num1">
    <w:name w:val="WW8Num1"/>
    <w:qFormat/>
  </w:style>
  <w:style w:type="numbering" w:styleId="WW8Num2">
    <w:name w:val="WW8Num2"/>
    <w:qFormat/>
  </w:style>
  <w:style w:type="numbering" w:styleId="WW8Num6">
    <w:name w:val="WW8Num6"/>
    <w:qFormat/>
  </w:style>
  <w:style w:type="numbering" w:styleId="WW8Num11">
    <w:name w:val="WW8Num11"/>
    <w:qFormat/>
  </w:style>
  <w:style w:type="numbering" w:styleId="WW8Num12">
    <w:name w:val="WW8Num12"/>
    <w:qFormat/>
  </w:style>
  <w:style w:type="numbering" w:styleId="WW8Num14">
    <w:name w:val="WW8Num1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1365</TotalTime>
  <Application>LibreOffice/5.1.3.2$Windows_x86 LibreOffice_project/644e4637d1d8544fd9f56425bd6cec110e49301b</Application>
  <Pages>15</Pages>
  <Words>4330</Words>
  <Characters>25763</Characters>
  <CharactersWithSpaces>30166</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2016-06-10T07:39:00Z</dcterms:created>
  <dc:creator>uglw</dc:creator>
  <dc:description/>
  <dc:language>pl-PL</dc:language>
  <cp:lastModifiedBy/>
  <cp:lastPrinted>2018-03-22T14:55:22Z</cp:lastPrinted>
  <dcterms:modified xsi:type="dcterms:W3CDTF">2018-03-29T11:16:03Z</dcterms:modified>
  <cp:revision>111</cp:revision>
  <dc:subject/>
  <dc:title>Protokół Nr IV/15</dc:title>
</cp:coreProperties>
</file>