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i/>
          <w:i/>
          <w:color w:val="000000"/>
          <w:sz w:val="24"/>
          <w:szCs w:val="24"/>
        </w:rPr>
      </w:pPr>
      <w:r>
        <w:rPr>
          <w:b/>
          <w:color w:val="000000"/>
          <w:sz w:val="28"/>
          <w:szCs w:val="28"/>
        </w:rPr>
        <w:t>Protokół Nr XXXIII/18</w:t>
      </w:r>
    </w:p>
    <w:p>
      <w:pPr>
        <w:pStyle w:val="Normal"/>
        <w:rPr>
          <w:b/>
          <w:b/>
          <w:i/>
          <w:i/>
          <w:color w:val="000000"/>
          <w:sz w:val="24"/>
          <w:szCs w:val="24"/>
        </w:rPr>
      </w:pPr>
      <w:r>
        <w:rPr>
          <w:b/>
          <w:i/>
          <w:color w:val="000000"/>
          <w:sz w:val="24"/>
          <w:szCs w:val="24"/>
        </w:rPr>
      </w:r>
    </w:p>
    <w:p>
      <w:pPr>
        <w:pStyle w:val="Normal"/>
        <w:jc w:val="both"/>
        <w:rPr/>
      </w:pPr>
      <w:r>
        <w:rPr>
          <w:b/>
          <w:sz w:val="24"/>
          <w:szCs w:val="24"/>
        </w:rPr>
        <w:t>z trzydziestej trzeciej sesji Rady Gminy Lidzbark Warmiński, która odbyła się w dniu</w:t>
        <w:br/>
        <w:t>28 marca 2018 r. w Gminnym  Ośrodku Kultury i Sportu w PILNIKU.</w:t>
      </w:r>
    </w:p>
    <w:p>
      <w:pPr>
        <w:pStyle w:val="Normal"/>
        <w:ind w:firstLine="708"/>
        <w:rPr>
          <w:b/>
          <w:b/>
          <w:sz w:val="24"/>
          <w:szCs w:val="24"/>
        </w:rPr>
      </w:pPr>
      <w:r>
        <w:rPr>
          <w:b/>
          <w:sz w:val="24"/>
          <w:szCs w:val="24"/>
        </w:rPr>
      </w:r>
    </w:p>
    <w:p>
      <w:pPr>
        <w:pStyle w:val="Normal"/>
        <w:jc w:val="both"/>
        <w:rPr/>
      </w:pPr>
      <w:r>
        <w:rPr>
          <w:b/>
          <w:sz w:val="24"/>
          <w:szCs w:val="24"/>
        </w:rPr>
        <w:t xml:space="preserve"> </w:t>
      </w:r>
      <w:r>
        <w:rPr>
          <w:sz w:val="24"/>
          <w:szCs w:val="24"/>
        </w:rPr>
        <w:t>Obrady rozpoczęto o godz. 12</w:t>
      </w:r>
      <w:r>
        <w:rPr>
          <w:sz w:val="24"/>
          <w:szCs w:val="24"/>
          <w:vertAlign w:val="superscript"/>
        </w:rPr>
        <w:t xml:space="preserve">05 </w:t>
      </w:r>
      <w:r>
        <w:rPr>
          <w:sz w:val="24"/>
          <w:szCs w:val="24"/>
        </w:rPr>
        <w:t>, a zakończono o godz. 12</w:t>
      </w:r>
      <w:r>
        <w:rPr>
          <w:sz w:val="24"/>
          <w:szCs w:val="24"/>
          <w:vertAlign w:val="superscript"/>
        </w:rPr>
        <w:t>50</w:t>
      </w:r>
    </w:p>
    <w:p>
      <w:pPr>
        <w:pStyle w:val="Nagwek1"/>
        <w:numPr>
          <w:ilvl w:val="0"/>
          <w:numId w:val="2"/>
        </w:numPr>
        <w:tabs>
          <w:tab w:val="left" w:pos="7291" w:leader="none"/>
        </w:tabs>
        <w:jc w:val="both"/>
        <w:rPr>
          <w:szCs w:val="24"/>
        </w:rPr>
      </w:pPr>
      <w:r>
        <w:rPr>
          <w:szCs w:val="24"/>
        </w:rPr>
        <w:tab/>
        <w:t xml:space="preserve">        </w:t>
      </w:r>
    </w:p>
    <w:p>
      <w:pPr>
        <w:pStyle w:val="Nagwek1"/>
        <w:numPr>
          <w:ilvl w:val="0"/>
          <w:numId w:val="2"/>
        </w:numPr>
        <w:jc w:val="both"/>
        <w:rPr/>
      </w:pPr>
      <w:r>
        <w:rPr>
          <w:szCs w:val="24"/>
        </w:rPr>
        <w:t>Stan Rady Gminy</w:t>
        <w:tab/>
        <w:t xml:space="preserve">  - </w:t>
      </w:r>
      <w:r>
        <w:rPr>
          <w:b/>
          <w:szCs w:val="24"/>
        </w:rPr>
        <w:t>15</w:t>
      </w:r>
      <w:r>
        <w:rPr>
          <w:szCs w:val="24"/>
        </w:rPr>
        <w:t xml:space="preserve"> radnych</w:t>
      </w:r>
    </w:p>
    <w:p>
      <w:pPr>
        <w:pStyle w:val="Nagwek1"/>
        <w:numPr>
          <w:ilvl w:val="0"/>
          <w:numId w:val="2"/>
        </w:numPr>
        <w:jc w:val="both"/>
        <w:rPr/>
      </w:pPr>
      <w:r>
        <w:rPr>
          <w:szCs w:val="24"/>
        </w:rPr>
        <w:t>Radnych obecnych</w:t>
        <w:tab/>
        <w:t xml:space="preserve">  - </w:t>
      </w:r>
      <w:r>
        <w:rPr>
          <w:b/>
          <w:szCs w:val="24"/>
        </w:rPr>
        <w:t>14</w:t>
      </w:r>
    </w:p>
    <w:p>
      <w:pPr>
        <w:pStyle w:val="Normal"/>
        <w:rPr/>
      </w:pPr>
      <w:r>
        <w:rPr/>
      </w:r>
    </w:p>
    <w:p>
      <w:pPr>
        <w:pStyle w:val="Normal"/>
        <w:jc w:val="both"/>
        <w:rPr/>
      </w:pPr>
      <w:r>
        <w:rPr>
          <w:i/>
          <w:sz w:val="24"/>
          <w:szCs w:val="24"/>
        </w:rPr>
        <w:t>Na sesji nieobecny był radny Edward Grabowski.</w:t>
      </w:r>
    </w:p>
    <w:p>
      <w:pPr>
        <w:pStyle w:val="Normal"/>
        <w:jc w:val="both"/>
        <w:rPr>
          <w:sz w:val="24"/>
          <w:szCs w:val="24"/>
        </w:rPr>
      </w:pPr>
      <w:r>
        <w:rPr>
          <w:i/>
          <w:sz w:val="24"/>
          <w:szCs w:val="24"/>
        </w:rPr>
        <w:t>Lista obecności radnych stanowi załącznik nr 1 do niniejszego protokołu.</w:t>
      </w:r>
    </w:p>
    <w:p>
      <w:pPr>
        <w:pStyle w:val="Normal"/>
        <w:jc w:val="both"/>
        <w:rPr>
          <w:sz w:val="24"/>
          <w:szCs w:val="24"/>
        </w:rPr>
      </w:pPr>
      <w:r>
        <w:rPr>
          <w:sz w:val="24"/>
          <w:szCs w:val="24"/>
        </w:rPr>
      </w:r>
    </w:p>
    <w:p>
      <w:pPr>
        <w:pStyle w:val="Normal"/>
        <w:jc w:val="both"/>
        <w:rPr/>
      </w:pPr>
      <w:r>
        <w:rPr>
          <w:sz w:val="24"/>
          <w:szCs w:val="24"/>
        </w:rPr>
        <w:t>Podjęto   uchwał - od nr  254</w:t>
      </w:r>
      <w:r>
        <w:rPr>
          <w:b/>
          <w:sz w:val="24"/>
          <w:szCs w:val="24"/>
        </w:rPr>
        <w:t xml:space="preserve"> </w:t>
      </w:r>
      <w:r>
        <w:rPr>
          <w:sz w:val="24"/>
          <w:szCs w:val="24"/>
        </w:rPr>
        <w:t xml:space="preserve">do nr  259 </w:t>
      </w:r>
      <w:r>
        <w:rPr>
          <w:b/>
          <w:sz w:val="24"/>
          <w:szCs w:val="24"/>
        </w:rPr>
        <w:t>.</w:t>
      </w:r>
    </w:p>
    <w:p>
      <w:pPr>
        <w:pStyle w:val="Tekstpodstawowywcity31"/>
        <w:spacing w:before="0" w:after="0"/>
        <w:rPr>
          <w:b/>
          <w:b/>
          <w:sz w:val="24"/>
          <w:szCs w:val="24"/>
        </w:rPr>
      </w:pPr>
      <w:r>
        <w:rPr>
          <w:b/>
          <w:sz w:val="24"/>
          <w:szCs w:val="24"/>
        </w:rPr>
      </w:r>
    </w:p>
    <w:p>
      <w:pPr>
        <w:pStyle w:val="Normal"/>
        <w:jc w:val="both"/>
        <w:rPr>
          <w:sz w:val="24"/>
          <w:szCs w:val="24"/>
        </w:rPr>
      </w:pPr>
      <w:r>
        <w:rPr>
          <w:sz w:val="24"/>
          <w:szCs w:val="24"/>
        </w:rPr>
        <w:t>Ponadto, w sesji uczestniczyli:</w:t>
      </w:r>
    </w:p>
    <w:p>
      <w:pPr>
        <w:pStyle w:val="Normal"/>
        <w:jc w:val="both"/>
        <w:rPr>
          <w:sz w:val="24"/>
          <w:szCs w:val="24"/>
        </w:rPr>
      </w:pPr>
      <w:r>
        <w:rPr>
          <w:sz w:val="24"/>
          <w:szCs w:val="24"/>
        </w:rPr>
        <w:t xml:space="preserve">Wójt Gminy </w:t>
        <w:tab/>
        <w:tab/>
        <w:t>-  Fabian Andrukajtis</w:t>
      </w:r>
    </w:p>
    <w:p>
      <w:pPr>
        <w:pStyle w:val="Normal"/>
        <w:jc w:val="both"/>
        <w:rPr>
          <w:sz w:val="24"/>
          <w:szCs w:val="24"/>
        </w:rPr>
      </w:pPr>
      <w:r>
        <w:rPr>
          <w:sz w:val="24"/>
          <w:szCs w:val="24"/>
        </w:rPr>
        <w:t>Z-ca Wójta Gminy</w:t>
        <w:tab/>
        <w:t>-  Tomasz Kołodziejczyk</w:t>
      </w:r>
    </w:p>
    <w:p>
      <w:pPr>
        <w:pStyle w:val="Normal"/>
        <w:jc w:val="both"/>
        <w:rPr>
          <w:sz w:val="24"/>
          <w:szCs w:val="24"/>
        </w:rPr>
      </w:pPr>
      <w:r>
        <w:rPr>
          <w:sz w:val="24"/>
          <w:szCs w:val="24"/>
        </w:rPr>
        <w:t>Sekretarz Gminy        -  Ryszard Kielak</w:t>
      </w:r>
    </w:p>
    <w:p>
      <w:pPr>
        <w:pStyle w:val="Normal"/>
        <w:jc w:val="both"/>
        <w:rPr>
          <w:sz w:val="24"/>
          <w:szCs w:val="24"/>
        </w:rPr>
      </w:pPr>
      <w:r>
        <w:rPr>
          <w:sz w:val="24"/>
          <w:szCs w:val="24"/>
        </w:rPr>
        <w:t xml:space="preserve">Skarbnik Gminy </w:t>
        <w:tab/>
        <w:t>-  Małgorzata Sobolewska</w:t>
      </w:r>
    </w:p>
    <w:p>
      <w:pPr>
        <w:pStyle w:val="Normal"/>
        <w:jc w:val="both"/>
        <w:rPr>
          <w:sz w:val="24"/>
          <w:szCs w:val="24"/>
        </w:rPr>
      </w:pPr>
      <w:r>
        <w:rPr>
          <w:sz w:val="24"/>
          <w:szCs w:val="24"/>
        </w:rPr>
      </w:r>
    </w:p>
    <w:p>
      <w:pPr>
        <w:pStyle w:val="Normal"/>
        <w:rPr>
          <w:i/>
          <w:i/>
          <w:sz w:val="24"/>
          <w:szCs w:val="24"/>
        </w:rPr>
      </w:pPr>
      <w:r>
        <w:rPr>
          <w:i/>
          <w:sz w:val="24"/>
          <w:szCs w:val="24"/>
        </w:rPr>
        <w:t xml:space="preserve">Sołtysi, zaproszeni goście, pracownicy Urzędu Gminy i mieszkańcy gminy wg listy obecności zał. Nr 2. </w:t>
      </w:r>
    </w:p>
    <w:p>
      <w:pPr>
        <w:pStyle w:val="Normal"/>
        <w:jc w:val="both"/>
        <w:rPr>
          <w:b/>
          <w:b/>
          <w:sz w:val="24"/>
          <w:szCs w:val="24"/>
        </w:rPr>
      </w:pPr>
      <w:r>
        <w:rPr>
          <w:b/>
          <w:sz w:val="24"/>
          <w:szCs w:val="24"/>
        </w:rPr>
      </w:r>
    </w:p>
    <w:p>
      <w:pPr>
        <w:pStyle w:val="Normal"/>
        <w:jc w:val="both"/>
        <w:rPr>
          <w:b/>
          <w:b/>
          <w:sz w:val="24"/>
          <w:szCs w:val="24"/>
        </w:rPr>
      </w:pPr>
      <w:r>
        <w:rPr>
          <w:b/>
          <w:sz w:val="24"/>
          <w:szCs w:val="24"/>
        </w:rPr>
        <w:t>Pkt 1. – Otwarcie i uchwalenie porządku obrad.</w:t>
      </w:r>
    </w:p>
    <w:p>
      <w:pPr>
        <w:pStyle w:val="Normal"/>
        <w:ind w:firstLine="708"/>
        <w:jc w:val="both"/>
        <w:rPr>
          <w:b/>
          <w:b/>
          <w:sz w:val="24"/>
          <w:szCs w:val="24"/>
        </w:rPr>
      </w:pPr>
      <w:r>
        <w:rPr>
          <w:b/>
          <w:sz w:val="24"/>
          <w:szCs w:val="24"/>
        </w:rPr>
      </w:r>
    </w:p>
    <w:p>
      <w:pPr>
        <w:pStyle w:val="Normal"/>
        <w:ind w:firstLine="708"/>
        <w:jc w:val="both"/>
        <w:rPr>
          <w:sz w:val="24"/>
          <w:szCs w:val="24"/>
        </w:rPr>
      </w:pPr>
      <w:r>
        <w:rPr>
          <w:sz w:val="24"/>
          <w:szCs w:val="24"/>
        </w:rPr>
        <w:t>Sesję otworzył Przewodniczący Rady Gminy Lidzbark Warmiński p. Jan Znamierowski.</w:t>
      </w:r>
    </w:p>
    <w:p>
      <w:pPr>
        <w:pStyle w:val="Normal"/>
        <w:jc w:val="both"/>
        <w:rPr>
          <w:sz w:val="24"/>
          <w:szCs w:val="24"/>
        </w:rPr>
      </w:pPr>
      <w:r>
        <w:rPr>
          <w:sz w:val="24"/>
          <w:szCs w:val="24"/>
        </w:rPr>
        <w:t>Przywitał Wójta Gminy, wszystkich radnych, sołtysów oraz przybyłych na sesję gości.</w:t>
      </w:r>
    </w:p>
    <w:p>
      <w:pPr>
        <w:pStyle w:val="Normal"/>
        <w:ind w:firstLine="708"/>
        <w:jc w:val="both"/>
        <w:rPr/>
      </w:pPr>
      <w:r>
        <w:rPr>
          <w:sz w:val="24"/>
          <w:szCs w:val="24"/>
        </w:rPr>
        <w:t>Na wstępie udzielił głosu Wójtowi Gminy Lidzbark Warmiński, który pogratulował Pani Annie Czeryba – sołtysowi wsi Babiak, która  w plebiscycie Gazety Lidzbarskiej  otrzymała po raz kolejny tytuł Super S</w:t>
      </w:r>
      <w:bookmarkStart w:id="0" w:name="_GoBack"/>
      <w:bookmarkEnd w:id="0"/>
      <w:r>
        <w:rPr>
          <w:sz w:val="24"/>
          <w:szCs w:val="24"/>
        </w:rPr>
        <w:t xml:space="preserve">ołtysa Powiatu  Lidzbarskiego oraz Pani Agnieszce Korosteńskiej za wyróżnienie przez Marszałka Województwa Warmińsko-Mazurskiego za codzienną pracę na rzecz rozwoju lokalnej społeczności sołectwa Stryjkowo. Wręczył Paniom pamiątkowe grawertony oraz podziękował za zaangażowanie i pracę na rzecz wsi i swoich mieszkańców. </w:t>
      </w:r>
    </w:p>
    <w:p>
      <w:pPr>
        <w:pStyle w:val="Normal"/>
        <w:ind w:firstLine="708"/>
        <w:jc w:val="both"/>
        <w:rPr/>
      </w:pPr>
      <w:r>
        <w:rPr>
          <w:sz w:val="24"/>
          <w:szCs w:val="24"/>
        </w:rPr>
        <w:t>Następnie Przewodniczący Rady Gm. udzielił głosu Pani Natalii Wyszyńskiej reprezentującej Okręgową Stację Chemiczno - Rolniczą w Olsztynie. Pani N. Wyszyńska poinformowała, że jest z działu Agrochemicznej Obsługi Rolnictwa.  Pod swoją opieką ma 10 gmin, w tym gminę Lidzbark Warmiński. Za pośrednictwem radnych i sołtysów przekazała rolnikom informację o organizowanym w tym roku badaniu próbek ziemi pod względem jej kwaśności.   Polega to na tym, że rolnicy sami ze swoich działek pobierają ziemię do badania i dostarczają np. do sołtysa. Następnie próbki gleby zabierane są do laboratorium i w ciągu 14 dni dostarczane są wyniki badań.  Jedna taka pobrana próbka reprezentuje grunt o powierzchni 4 ha i koszt jej badania  w tym roku wynosi 13,12 zł. Obecnie na rynku jest wiele firm, które oferują takie usługi, jednak należy zwrócić uwagę na cenę. Ważne jest również aby trafiały do Stacji Chemicznej w Olsztynie, ponieważ prowadzone są statystyki i wówczas mamy pogląd jak to wygląda na tle innych gmin. Poinformowała również, że organizuje spotkania z rolnikami, prowadzi doradztwo zawodowe w kwestii nawożenia gleby wapnem, doradza jaką stosować ilość i jaki wybierać rodzaj wapna.</w:t>
      </w:r>
    </w:p>
    <w:p>
      <w:pPr>
        <w:pStyle w:val="Normal"/>
        <w:ind w:firstLine="708"/>
        <w:jc w:val="both"/>
        <w:rPr>
          <w:sz w:val="24"/>
          <w:szCs w:val="24"/>
        </w:rPr>
      </w:pPr>
      <w:r>
        <w:rPr>
          <w:sz w:val="24"/>
          <w:szCs w:val="24"/>
        </w:rPr>
        <w:t>Po tym wystąpieniu Przewodniczący Rady Gminy przystąpił do merytorycznej części sesji.</w:t>
      </w:r>
    </w:p>
    <w:p>
      <w:pPr>
        <w:pStyle w:val="Normal"/>
        <w:jc w:val="both"/>
        <w:rPr/>
      </w:pPr>
      <w:r>
        <w:rPr>
          <w:sz w:val="24"/>
          <w:szCs w:val="24"/>
        </w:rPr>
        <w:t>Stwierdził, że Rada Gminy liczy 15 radnych, na sesji obecnych jest 14 radnych w związku z tym, obrady są prawomocne.</w:t>
      </w:r>
    </w:p>
    <w:p>
      <w:pPr>
        <w:pStyle w:val="Normal"/>
        <w:ind w:firstLine="600"/>
        <w:jc w:val="both"/>
        <w:rPr>
          <w:sz w:val="24"/>
          <w:szCs w:val="24"/>
        </w:rPr>
      </w:pPr>
      <w:r>
        <w:rPr>
          <w:sz w:val="24"/>
          <w:szCs w:val="24"/>
        </w:rPr>
      </w:r>
    </w:p>
    <w:p>
      <w:pPr>
        <w:pStyle w:val="Normal"/>
        <w:ind w:firstLine="600"/>
        <w:jc w:val="both"/>
        <w:rPr>
          <w:sz w:val="24"/>
          <w:szCs w:val="24"/>
        </w:rPr>
      </w:pPr>
      <w:r>
        <w:rPr>
          <w:sz w:val="24"/>
          <w:szCs w:val="24"/>
        </w:rPr>
      </w:r>
    </w:p>
    <w:p>
      <w:pPr>
        <w:pStyle w:val="Normal"/>
        <w:ind w:firstLine="600"/>
        <w:jc w:val="both"/>
        <w:rPr>
          <w:sz w:val="24"/>
          <w:szCs w:val="24"/>
        </w:rPr>
      </w:pPr>
      <w:r>
        <w:rPr>
          <w:sz w:val="24"/>
          <w:szCs w:val="24"/>
        </w:rPr>
      </w:r>
    </w:p>
    <w:p>
      <w:pPr>
        <w:pStyle w:val="Normal"/>
        <w:ind w:firstLine="600"/>
        <w:jc w:val="both"/>
        <w:rPr>
          <w:sz w:val="24"/>
          <w:szCs w:val="24"/>
        </w:rPr>
      </w:pPr>
      <w:r>
        <w:rPr>
          <w:sz w:val="24"/>
          <w:szCs w:val="24"/>
        </w:rPr>
        <w:t>Następnie przedstawił projekt porządku obrad, który został przesłany wszystkim radnym w zawiadomieniu o zwołaniu sesji:</w:t>
      </w:r>
    </w:p>
    <w:p>
      <w:pPr>
        <w:pStyle w:val="Normal"/>
        <w:ind w:firstLine="600"/>
        <w:jc w:val="both"/>
        <w:rPr>
          <w:b/>
          <w:b/>
          <w:sz w:val="24"/>
          <w:szCs w:val="24"/>
        </w:rPr>
      </w:pPr>
      <w:r>
        <w:rPr>
          <w:b/>
          <w:sz w:val="24"/>
          <w:szCs w:val="24"/>
        </w:rPr>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Otwarcie i uchwalenie porządku obrad.</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Przyjęcie protokołu z poprzedniej sesji.</w:t>
      </w:r>
    </w:p>
    <w:p>
      <w:pPr>
        <w:pStyle w:val="ListParagraph"/>
        <w:numPr>
          <w:ilvl w:val="0"/>
          <w:numId w:val="3"/>
        </w:numPr>
        <w:tabs>
          <w:tab w:val="left" w:pos="426" w:leader="none"/>
        </w:tabs>
        <w:ind w:left="600" w:right="-144" w:hanging="360"/>
        <w:jc w:val="both"/>
        <w:rPr>
          <w:color w:val="00000A"/>
          <w:sz w:val="24"/>
          <w:szCs w:val="24"/>
        </w:rPr>
      </w:pPr>
      <w:r>
        <w:rPr>
          <w:color w:val="00000A"/>
          <w:sz w:val="24"/>
          <w:szCs w:val="24"/>
        </w:rPr>
        <w:t xml:space="preserve">  </w:t>
      </w:r>
      <w:r>
        <w:rPr>
          <w:color w:val="00000A"/>
          <w:sz w:val="24"/>
          <w:szCs w:val="24"/>
        </w:rPr>
        <w:t>Projekt uchwały w sprawie wprowadzenia zmian w budżecie gminy na 2018r.</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Projekt uchwały w sprawie wprowadzenia zmian w Wieloletniej Prognozie Finansowej Gminy Lidzbark Warmiński na lata 2018-2035.</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Projekt uchwały w sprawie zapewnienia przez Gminę wspólnej obsługi kasowej dla Gminnego Ośrodka Pomocy Społecznej w Lidzbarku Warmińskim.</w:t>
      </w:r>
    </w:p>
    <w:p>
      <w:pPr>
        <w:pStyle w:val="ListParagraph"/>
        <w:numPr>
          <w:ilvl w:val="0"/>
          <w:numId w:val="3"/>
        </w:numPr>
        <w:tabs>
          <w:tab w:val="left" w:pos="426" w:leader="none"/>
        </w:tabs>
        <w:rPr>
          <w:color w:val="00000A"/>
          <w:sz w:val="24"/>
          <w:szCs w:val="24"/>
        </w:rPr>
      </w:pPr>
      <w:r>
        <w:rPr>
          <w:color w:val="00000A"/>
          <w:sz w:val="24"/>
          <w:szCs w:val="24"/>
        </w:rPr>
        <w:t xml:space="preserve">  </w:t>
      </w:r>
      <w:r>
        <w:rPr>
          <w:color w:val="00000A"/>
          <w:sz w:val="24"/>
          <w:szCs w:val="24"/>
        </w:rPr>
        <w:t>Projekt uchwały w sprawie podziału Gminy Lidzbark Warmiński na okręgi wyborcze, ustalenia ich granic i numerów oraz liczby radnych wybieranych w każdym okręgu.</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Projekt uchwały w sprawie podziału Gminy Lidzbark Warmiński na stałe obwody głosowania, ustalenia ich granic i numerów oraz siedzib obwodowych komisji wyborczych.</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Projekt uchwały w sprawie wykazu kąpielisk na terenie Gminy Lidzbark Warmiński na rok 2018.</w:t>
      </w:r>
    </w:p>
    <w:p>
      <w:pPr>
        <w:pStyle w:val="ListParagraph"/>
        <w:numPr>
          <w:ilvl w:val="0"/>
          <w:numId w:val="3"/>
        </w:numPr>
        <w:tabs>
          <w:tab w:val="left" w:pos="426" w:leader="none"/>
        </w:tabs>
        <w:jc w:val="both"/>
        <w:rPr>
          <w:color w:val="00000A"/>
          <w:sz w:val="24"/>
          <w:szCs w:val="24"/>
        </w:rPr>
      </w:pPr>
      <w:r>
        <w:rPr>
          <w:color w:val="00000A"/>
          <w:sz w:val="24"/>
          <w:szCs w:val="24"/>
        </w:rPr>
        <w:t xml:space="preserve">  </w:t>
      </w:r>
      <w:r>
        <w:rPr>
          <w:color w:val="00000A"/>
          <w:sz w:val="24"/>
          <w:szCs w:val="24"/>
        </w:rPr>
        <w:t>Informacja Wójta z bieżącej działalności gminy.</w:t>
      </w:r>
    </w:p>
    <w:p>
      <w:pPr>
        <w:pStyle w:val="ListParagraph"/>
        <w:numPr>
          <w:ilvl w:val="0"/>
          <w:numId w:val="3"/>
        </w:numPr>
        <w:tabs>
          <w:tab w:val="left" w:pos="426" w:leader="none"/>
        </w:tabs>
        <w:jc w:val="both"/>
        <w:rPr>
          <w:color w:val="00000A"/>
          <w:sz w:val="24"/>
          <w:szCs w:val="24"/>
        </w:rPr>
      </w:pPr>
      <w:r>
        <w:rPr>
          <w:color w:val="00000A"/>
          <w:sz w:val="24"/>
          <w:szCs w:val="24"/>
        </w:rPr>
        <w:t>Interpelacje i wnioski</w:t>
      </w:r>
    </w:p>
    <w:p>
      <w:pPr>
        <w:pStyle w:val="Normal"/>
        <w:jc w:val="both"/>
        <w:rPr>
          <w:sz w:val="24"/>
          <w:szCs w:val="24"/>
        </w:rPr>
      </w:pPr>
      <w:r>
        <w:rPr>
          <w:sz w:val="24"/>
          <w:szCs w:val="24"/>
        </w:rPr>
      </w:r>
    </w:p>
    <w:p>
      <w:pPr>
        <w:pStyle w:val="Normal"/>
        <w:ind w:firstLine="600"/>
        <w:jc w:val="both"/>
        <w:rPr/>
      </w:pPr>
      <w:r>
        <w:rPr>
          <w:sz w:val="24"/>
          <w:szCs w:val="24"/>
        </w:rPr>
        <w:t>Nie zgłoszono wniosków do proponowanego porządku obrad, w związku z tym poddano go pod głosowanie.</w:t>
      </w:r>
    </w:p>
    <w:p>
      <w:pPr>
        <w:pStyle w:val="Normal"/>
        <w:ind w:firstLine="709"/>
        <w:jc w:val="both"/>
        <w:rPr/>
      </w:pPr>
      <w:r>
        <w:rPr>
          <w:sz w:val="24"/>
          <w:szCs w:val="24"/>
        </w:rPr>
        <w:t>W wyniku głosowania, w którym wzięło udział 14 radnych, Rada Gminy jednogłośnie</w:t>
        <w:br/>
        <w:t>(14 głosów „ZA”, 0 głosów „PRZECIW”, nikt nie wstrzymał się od głosu) uchwaliła przedstawiony przez Przewodniczącego Rady Gminy porządek obrad.</w:t>
      </w:r>
    </w:p>
    <w:p>
      <w:pPr>
        <w:pStyle w:val="Normal"/>
        <w:rPr>
          <w:b/>
          <w:b/>
          <w:sz w:val="24"/>
          <w:szCs w:val="24"/>
        </w:rPr>
      </w:pPr>
      <w:r>
        <w:rPr>
          <w:b/>
          <w:sz w:val="24"/>
          <w:szCs w:val="24"/>
        </w:rPr>
      </w:r>
    </w:p>
    <w:p>
      <w:pPr>
        <w:pStyle w:val="Normal"/>
        <w:rPr>
          <w:b/>
          <w:b/>
          <w:sz w:val="24"/>
          <w:szCs w:val="24"/>
        </w:rPr>
      </w:pPr>
      <w:r>
        <w:rPr>
          <w:b/>
          <w:sz w:val="24"/>
          <w:szCs w:val="24"/>
        </w:rPr>
        <w:t xml:space="preserve"> </w:t>
      </w:r>
      <w:r>
        <w:rPr>
          <w:b/>
          <w:sz w:val="24"/>
          <w:szCs w:val="24"/>
        </w:rPr>
        <w:t>Pkt 2. - Przyjęcie protokołu  z poprzedniej sesji.</w:t>
      </w:r>
    </w:p>
    <w:p>
      <w:pPr>
        <w:pStyle w:val="Normal"/>
        <w:rPr>
          <w:b/>
          <w:b/>
          <w:sz w:val="24"/>
          <w:szCs w:val="24"/>
        </w:rPr>
      </w:pPr>
      <w:r>
        <w:rPr>
          <w:b/>
          <w:sz w:val="24"/>
          <w:szCs w:val="24"/>
        </w:rPr>
      </w:r>
    </w:p>
    <w:p>
      <w:pPr>
        <w:pStyle w:val="Normal"/>
        <w:jc w:val="both"/>
        <w:rPr/>
      </w:pPr>
      <w:r>
        <w:rPr>
          <w:sz w:val="24"/>
          <w:szCs w:val="24"/>
        </w:rPr>
        <w:t>Przewodniczący Rady poinformował, że protokół</w:t>
      </w:r>
      <w:r>
        <w:rPr>
          <w:b/>
          <w:sz w:val="24"/>
          <w:szCs w:val="24"/>
        </w:rPr>
        <w:t xml:space="preserve"> </w:t>
      </w:r>
      <w:r>
        <w:rPr>
          <w:sz w:val="24"/>
          <w:szCs w:val="24"/>
        </w:rPr>
        <w:t>z trzydziestej drugiej sesji Rady Gminy był dostępny był do wglądu w Urzędzie Gminy i każdy miał możliwość zapoznania się z jego treścią, dlatego zaproponował przyjęcie go bez odczytywania.</w:t>
      </w:r>
    </w:p>
    <w:p>
      <w:pPr>
        <w:pStyle w:val="Tekstpodstawowywcity31"/>
        <w:spacing w:before="0" w:after="0"/>
        <w:ind w:left="0" w:hanging="0"/>
        <w:jc w:val="both"/>
        <w:rPr>
          <w:sz w:val="24"/>
          <w:szCs w:val="24"/>
        </w:rPr>
      </w:pPr>
      <w:r>
        <w:rPr>
          <w:sz w:val="24"/>
          <w:szCs w:val="24"/>
        </w:rPr>
        <w:t>Nie było wniosków w sprawie przyjęcia protokołu, w związku z tym poddano go pod głosowanie.</w:t>
      </w:r>
    </w:p>
    <w:p>
      <w:pPr>
        <w:pStyle w:val="Normal"/>
        <w:tabs>
          <w:tab w:val="left" w:pos="426" w:leader="none"/>
          <w:tab w:val="left" w:pos="502" w:leader="none"/>
        </w:tabs>
        <w:ind w:firstLine="709"/>
        <w:jc w:val="both"/>
        <w:rPr/>
      </w:pPr>
      <w:r>
        <w:rPr>
          <w:sz w:val="24"/>
          <w:szCs w:val="24"/>
        </w:rPr>
        <w:t>W wyniku głosowania, w którym wzięło udział 14 radnych, Rada Gminy jednogłośnie</w:t>
        <w:br/>
        <w:t>(14 głosów „ZA”, 0 głosów „PRZECIW”, nikt nie wstrzymał się od głosu) przyjęła protokół</w:t>
      </w:r>
      <w:r>
        <w:rPr>
          <w:b/>
          <w:sz w:val="24"/>
          <w:szCs w:val="24"/>
        </w:rPr>
        <w:br/>
      </w:r>
      <w:r>
        <w:rPr>
          <w:sz w:val="24"/>
          <w:szCs w:val="24"/>
        </w:rPr>
        <w:t xml:space="preserve">z  XXXII sesji Rady Gminy z dnia  01 marca 2018 r.  </w:t>
      </w:r>
    </w:p>
    <w:p>
      <w:pPr>
        <w:pStyle w:val="Normal"/>
        <w:spacing w:lineRule="auto" w:line="360"/>
        <w:rPr>
          <w:i/>
          <w:i/>
          <w:iCs/>
        </w:rPr>
      </w:pPr>
      <w:r>
        <w:rPr>
          <w:i/>
          <w:iCs/>
        </w:rPr>
      </w:r>
    </w:p>
    <w:p>
      <w:pPr>
        <w:pStyle w:val="Normal"/>
        <w:spacing w:lineRule="auto" w:line="360"/>
        <w:rPr>
          <w:b/>
          <w:b/>
          <w:sz w:val="24"/>
          <w:szCs w:val="24"/>
        </w:rPr>
      </w:pPr>
      <w:r>
        <w:rPr>
          <w:b/>
          <w:sz w:val="24"/>
          <w:szCs w:val="24"/>
        </w:rPr>
        <w:t>Pkt  3. -  Projekt uchwały w sprawie  wprowadzenia zmian w budżecie  gminy na 2018 r.</w:t>
      </w:r>
    </w:p>
    <w:p>
      <w:pPr>
        <w:pStyle w:val="Wcicietrecitekstu"/>
        <w:tabs>
          <w:tab w:val="left" w:pos="709" w:leader="none"/>
        </w:tabs>
        <w:ind w:left="0" w:hanging="0"/>
        <w:rPr/>
      </w:pPr>
      <w:r>
        <w:rPr>
          <w:b/>
          <w:sz w:val="24"/>
          <w:szCs w:val="24"/>
        </w:rPr>
        <w:tab/>
      </w:r>
      <w:r>
        <w:rPr>
          <w:sz w:val="24"/>
          <w:szCs w:val="24"/>
        </w:rPr>
        <w:t xml:space="preserve">Przewodniczący Rady Gminy poinformował, że projekt uchwały w sprawie zmian w budżecie na rok bieżący otrzymali wszyscy radni wraz z zawiadomieniem o zwołaniu sesji i został pozytywnie zaopiniowany przez Komisje Rady Gminy wraz z autopoprawką zgłoszoną przez Wójta. </w:t>
      </w:r>
    </w:p>
    <w:p>
      <w:pPr>
        <w:pStyle w:val="Wcicietrecitekstu"/>
        <w:tabs>
          <w:tab w:val="left" w:pos="709" w:leader="none"/>
        </w:tabs>
        <w:ind w:left="0" w:hanging="0"/>
        <w:rPr>
          <w:sz w:val="24"/>
          <w:szCs w:val="24"/>
        </w:rPr>
      </w:pPr>
      <w:r>
        <w:rPr>
          <w:sz w:val="24"/>
          <w:szCs w:val="24"/>
        </w:rPr>
        <w:t>V</w:t>
        <w:noBreakHyphen/>
        <w:t>ce Przewodnicząca RG. p. Iwona Końka</w:t>
      </w:r>
      <w:r>
        <w:rPr>
          <w:b/>
          <w:sz w:val="24"/>
          <w:szCs w:val="24"/>
        </w:rPr>
        <w:t xml:space="preserve"> </w:t>
      </w:r>
      <w:r>
        <w:rPr>
          <w:sz w:val="24"/>
          <w:szCs w:val="24"/>
        </w:rPr>
        <w:t> przedstawiła projekt uchwały w tej sprawie</w:t>
      </w:r>
    </w:p>
    <w:p>
      <w:pPr>
        <w:pStyle w:val="Tekstpodstawowywcity31"/>
        <w:spacing w:before="0" w:after="0"/>
        <w:ind w:left="0" w:hanging="0"/>
        <w:jc w:val="both"/>
        <w:rPr>
          <w:sz w:val="24"/>
          <w:szCs w:val="24"/>
        </w:rPr>
      </w:pPr>
      <w:r>
        <w:rPr>
          <w:sz w:val="24"/>
          <w:szCs w:val="24"/>
        </w:rPr>
        <w:t>Nie było zgłoszeń ani wniosków do projektu uchwały, w związku z tym poddano go pod głosowanie.</w:t>
      </w:r>
    </w:p>
    <w:p>
      <w:pPr>
        <w:pStyle w:val="Normal"/>
        <w:tabs>
          <w:tab w:val="left" w:pos="426" w:leader="none"/>
          <w:tab w:val="left" w:pos="502" w:leader="none"/>
        </w:tabs>
        <w:ind w:firstLine="709"/>
        <w:jc w:val="both"/>
        <w:rPr/>
      </w:pPr>
      <w:r>
        <w:rPr>
          <w:sz w:val="24"/>
          <w:szCs w:val="24"/>
        </w:rPr>
        <w:t>W wyniku głosowania, w którym wzięło udział 14 radnych, Rada Gminy jednogłośnie</w:t>
        <w:br/>
        <w:t>(14 głosów „ZA”, 0 głosów „PRZECIW”, nikt nie wstrzymał się od głosu) podjęła  uchwałę</w:t>
        <w:br/>
        <w:t xml:space="preserve">w sprawie  wprowadzenia zmian w budżecie  gminy na 2018 r. </w:t>
      </w:r>
    </w:p>
    <w:p>
      <w:pPr>
        <w:pStyle w:val="Normal"/>
        <w:tabs>
          <w:tab w:val="left" w:pos="426" w:leader="none"/>
          <w:tab w:val="left" w:pos="502" w:leader="none"/>
        </w:tabs>
        <w:jc w:val="both"/>
        <w:rPr/>
      </w:pPr>
      <w:r>
        <w:rPr>
          <w:i/>
          <w:sz w:val="24"/>
          <w:szCs w:val="24"/>
        </w:rPr>
        <w:t>Uchwała Nr XXXIII/254/2018 RG. w ww. sprawie stanowi załącznik nr 3 do niniejszego protokołu.</w:t>
      </w:r>
    </w:p>
    <w:p>
      <w:pPr>
        <w:pStyle w:val="Normal"/>
        <w:tabs>
          <w:tab w:val="left" w:pos="426" w:leader="none"/>
          <w:tab w:val="left" w:pos="502" w:leader="none"/>
        </w:tabs>
        <w:spacing w:lineRule="auto" w:line="360"/>
        <w:jc w:val="both"/>
        <w:rPr>
          <w:i/>
          <w:i/>
          <w:sz w:val="24"/>
          <w:szCs w:val="24"/>
        </w:rPr>
      </w:pPr>
      <w:r>
        <w:rPr>
          <w:i/>
          <w:sz w:val="24"/>
          <w:szCs w:val="24"/>
        </w:rPr>
      </w:r>
    </w:p>
    <w:p>
      <w:pPr>
        <w:pStyle w:val="Normal"/>
        <w:tabs>
          <w:tab w:val="left" w:pos="426" w:leader="none"/>
          <w:tab w:val="left" w:pos="502" w:leader="none"/>
        </w:tabs>
        <w:spacing w:lineRule="auto" w:line="360"/>
        <w:jc w:val="both"/>
        <w:rPr>
          <w:i/>
          <w:i/>
          <w:sz w:val="24"/>
          <w:szCs w:val="24"/>
        </w:rPr>
      </w:pPr>
      <w:r>
        <w:rPr>
          <w:i/>
          <w:sz w:val="24"/>
          <w:szCs w:val="24"/>
        </w:rPr>
      </w:r>
    </w:p>
    <w:p>
      <w:pPr>
        <w:pStyle w:val="Normal"/>
        <w:ind w:left="900" w:hanging="900"/>
        <w:rPr>
          <w:b/>
          <w:b/>
          <w:sz w:val="24"/>
          <w:szCs w:val="24"/>
        </w:rPr>
      </w:pPr>
      <w:r>
        <w:rPr>
          <w:b/>
          <w:sz w:val="24"/>
          <w:szCs w:val="24"/>
        </w:rPr>
        <w:t>Pkt  4. - Projekt uchwały w sprawie  uchwalenia zmian w Wieloletniej Prognozie Finansowej  Gminy Lidzbark Warmiński na lata 2018-2035.</w:t>
      </w:r>
    </w:p>
    <w:p>
      <w:pPr>
        <w:pStyle w:val="Wcicietrecitekstu"/>
        <w:tabs>
          <w:tab w:val="left" w:pos="709" w:leader="none"/>
        </w:tabs>
        <w:ind w:left="900" w:hanging="900"/>
        <w:jc w:val="left"/>
        <w:rPr>
          <w:b/>
          <w:b/>
          <w:sz w:val="24"/>
          <w:szCs w:val="24"/>
        </w:rPr>
      </w:pPr>
      <w:r>
        <w:rPr>
          <w:b/>
          <w:sz w:val="24"/>
          <w:szCs w:val="24"/>
        </w:rPr>
      </w:r>
    </w:p>
    <w:p>
      <w:pPr>
        <w:pStyle w:val="Wcicietrecitekstu"/>
        <w:tabs>
          <w:tab w:val="left" w:pos="709" w:leader="none"/>
        </w:tabs>
        <w:ind w:left="0" w:hanging="0"/>
        <w:rPr/>
      </w:pPr>
      <w:r>
        <w:rPr>
          <w:sz w:val="24"/>
          <w:szCs w:val="24"/>
        </w:rPr>
        <w:tab/>
        <w:t>Przewodniczący Rady Gm. poinformował, że projekt zmian w Wieloletniej Prognozie Finansowej na lata 2018-2035 otrzymali wszyscy radni wraz z zawiadomieniem o zwołaniu sesji i również został pozytywnie zaopiniowany przez komisje Rady Gminy.</w:t>
      </w:r>
    </w:p>
    <w:p>
      <w:pPr>
        <w:pStyle w:val="Wcicietrecitekstu"/>
        <w:tabs>
          <w:tab w:val="left" w:pos="709" w:leader="none"/>
        </w:tabs>
        <w:ind w:left="0" w:hanging="0"/>
        <w:rPr>
          <w:sz w:val="24"/>
          <w:szCs w:val="24"/>
        </w:rPr>
      </w:pPr>
      <w:r>
        <w:rPr>
          <w:sz w:val="24"/>
          <w:szCs w:val="24"/>
        </w:rPr>
        <w:t>V</w:t>
        <w:noBreakHyphen/>
        <w:t>ce Przewodnicząca RG. p. Iwona Końka</w:t>
      </w:r>
      <w:r>
        <w:rPr>
          <w:b/>
          <w:sz w:val="24"/>
          <w:szCs w:val="24"/>
        </w:rPr>
        <w:t xml:space="preserve"> </w:t>
      </w:r>
      <w:r>
        <w:rPr>
          <w:sz w:val="24"/>
          <w:szCs w:val="24"/>
        </w:rPr>
        <w:t> przedstawiła projekt uchwały w tej sprawie.</w:t>
      </w:r>
    </w:p>
    <w:p>
      <w:pPr>
        <w:pStyle w:val="Tekstpodstawowywcity31"/>
        <w:spacing w:before="0" w:after="0"/>
        <w:ind w:lef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firstLine="709"/>
        <w:jc w:val="both"/>
        <w:rPr/>
      </w:pPr>
      <w:r>
        <w:rPr>
          <w:sz w:val="24"/>
          <w:szCs w:val="24"/>
        </w:rPr>
        <w:t>W wyniku głosowania, w którym wzięło udział 14 radnych, Rada Gminy jednogłośnie</w:t>
        <w:br/>
        <w:t>(14 głosów „ZA”, 0 głosów „PRZECIW”, nikt nie wstrzymał się od głosu) podjęła  uchwałę</w:t>
        <w:br/>
        <w:t>w sprawie uchwalenia zmian w Wieloletniej Prognozie Finansowej  Gminy Lidzbark Warmiński na lata 2018-2035.</w:t>
      </w:r>
    </w:p>
    <w:p>
      <w:pPr>
        <w:pStyle w:val="Wcicietrecitekstu"/>
        <w:tabs>
          <w:tab w:val="left" w:pos="0" w:leader="none"/>
        </w:tabs>
        <w:ind w:left="0" w:hanging="0"/>
        <w:rPr>
          <w:sz w:val="24"/>
          <w:szCs w:val="24"/>
        </w:rPr>
      </w:pPr>
      <w:r>
        <w:rPr>
          <w:i/>
          <w:sz w:val="24"/>
          <w:szCs w:val="24"/>
        </w:rPr>
        <w:t>Uchwała Nr XXXIII/255/2018 RG. w ww. sprawie stanowi załącznik nr 4 do niniejszego protokołu.</w:t>
      </w:r>
    </w:p>
    <w:p>
      <w:pPr>
        <w:pStyle w:val="Normal"/>
        <w:jc w:val="both"/>
        <w:rPr>
          <w:b/>
          <w:b/>
          <w:sz w:val="24"/>
          <w:szCs w:val="24"/>
        </w:rPr>
      </w:pPr>
      <w:r>
        <w:rPr>
          <w:b/>
          <w:sz w:val="24"/>
          <w:szCs w:val="24"/>
        </w:rPr>
      </w:r>
    </w:p>
    <w:p>
      <w:pPr>
        <w:pStyle w:val="Normal"/>
        <w:ind w:left="993" w:hanging="993"/>
        <w:jc w:val="both"/>
        <w:rPr>
          <w:b/>
          <w:b/>
          <w:color w:val="00000A"/>
          <w:sz w:val="24"/>
          <w:szCs w:val="24"/>
        </w:rPr>
      </w:pPr>
      <w:r>
        <w:rPr>
          <w:b/>
          <w:sz w:val="24"/>
          <w:szCs w:val="24"/>
        </w:rPr>
        <w:t xml:space="preserve">Pkt 5. – </w:t>
      </w:r>
      <w:r>
        <w:rPr>
          <w:b/>
          <w:color w:val="00000A"/>
          <w:sz w:val="24"/>
          <w:szCs w:val="24"/>
        </w:rPr>
        <w:t>Projekt uchwały w sprawie zapewnienia przez gminę  wspólnej obsługi kasowej dla Gminnego Ośrodka Pomocy Społecznej w Lidzbarku Warmińskim.</w:t>
      </w:r>
    </w:p>
    <w:p>
      <w:pPr>
        <w:pStyle w:val="Normal"/>
        <w:jc w:val="both"/>
        <w:rPr>
          <w:color w:val="00000A"/>
          <w:sz w:val="28"/>
          <w:szCs w:val="28"/>
        </w:rPr>
      </w:pPr>
      <w:r>
        <w:rPr>
          <w:color w:val="00000A"/>
          <w:sz w:val="28"/>
          <w:szCs w:val="28"/>
        </w:rPr>
      </w:r>
    </w:p>
    <w:p>
      <w:pPr>
        <w:pStyle w:val="Normal"/>
        <w:ind w:firstLine="720"/>
        <w:jc w:val="both"/>
        <w:rPr>
          <w:color w:val="00000A"/>
          <w:sz w:val="24"/>
          <w:szCs w:val="24"/>
        </w:rPr>
      </w:pPr>
      <w:r>
        <w:rPr>
          <w:color w:val="00000A"/>
          <w:sz w:val="24"/>
          <w:szCs w:val="24"/>
        </w:rPr>
        <w:t>Przewodniczący Rady Gminy - w zmienionej ustawie o samorządzie gminnym dodano art. 10a i 10b, zgodnie z którymi prowadzenie wspólnej obsługi finansowej następuje na podstawie uchwały Rady Gminy. Obecnie Urząd Gminy prowadzi wspólną obsługę kasy na podstawie porozumienia zawartego pomiędzy jednostkami.</w:t>
      </w:r>
    </w:p>
    <w:p>
      <w:pPr>
        <w:pStyle w:val="Normal"/>
        <w:jc w:val="both"/>
        <w:rPr>
          <w:bCs/>
          <w:sz w:val="24"/>
          <w:szCs w:val="24"/>
        </w:rPr>
      </w:pPr>
      <w:r>
        <w:rPr>
          <w:bCs/>
          <w:sz w:val="24"/>
          <w:szCs w:val="24"/>
        </w:rPr>
        <w:t>Projekt uchwały omawiany był na posiedzeniach Komisji Rady Gminy i został zaopiniowany pozytywnie.</w:t>
      </w:r>
    </w:p>
    <w:p>
      <w:pPr>
        <w:pStyle w:val="Wcicietrecitekstu"/>
        <w:tabs>
          <w:tab w:val="left" w:pos="709" w:leader="none"/>
        </w:tabs>
        <w:ind w:left="0" w:hanging="0"/>
        <w:rPr/>
      </w:pPr>
      <w:r>
        <w:rPr>
          <w:sz w:val="24"/>
          <w:szCs w:val="24"/>
        </w:rPr>
        <w:t>V</w:t>
        <w:noBreakHyphen/>
        <w:t>ce Przewodnicząca RG. p. Iwona Końka</w:t>
      </w:r>
      <w:r>
        <w:rPr>
          <w:b/>
          <w:sz w:val="24"/>
          <w:szCs w:val="24"/>
        </w:rPr>
        <w:t xml:space="preserve"> </w:t>
      </w:r>
      <w:r>
        <w:rPr>
          <w:sz w:val="24"/>
          <w:szCs w:val="24"/>
        </w:rPr>
        <w:t>przedstawiła projekt uchwały w tej sprawie.</w:t>
      </w:r>
    </w:p>
    <w:p>
      <w:pPr>
        <w:pStyle w:val="Tekstpodstawowywcity31"/>
        <w:spacing w:before="0" w:after="0"/>
        <w:ind w:lef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firstLine="709"/>
        <w:jc w:val="both"/>
        <w:rPr/>
      </w:pPr>
      <w:r>
        <w:rPr>
          <w:sz w:val="24"/>
          <w:szCs w:val="24"/>
        </w:rPr>
        <w:t>W wyniku głosowania, w którym wzięło udział 14 radnych, Rada Gminy jednogłośnie</w:t>
        <w:br/>
        <w:t>(14 głosów „ZA”, 0 głosów „PRZECIW”, nikt nie wstrzymał się od głosu) podjęła uchwałę</w:t>
        <w:br/>
        <w:t xml:space="preserve">w sprawie </w:t>
      </w:r>
      <w:r>
        <w:rPr>
          <w:color w:val="00000A"/>
          <w:sz w:val="24"/>
          <w:szCs w:val="24"/>
        </w:rPr>
        <w:t>zapewnienia przez gminę  wspólnej obsługi kasowej dla Gminnego Ośrodka Pomocy Społecznej w Lidzbarku Warmińskim.</w:t>
      </w:r>
      <w:r>
        <w:rPr>
          <w:sz w:val="24"/>
          <w:szCs w:val="24"/>
        </w:rPr>
        <w:t xml:space="preserve"> </w:t>
      </w:r>
    </w:p>
    <w:p>
      <w:pPr>
        <w:pStyle w:val="Wcicietrecitekstu"/>
        <w:tabs>
          <w:tab w:val="left" w:pos="0" w:leader="none"/>
        </w:tabs>
        <w:ind w:left="0" w:hanging="0"/>
        <w:rPr>
          <w:i/>
          <w:i/>
          <w:iCs/>
          <w:sz w:val="24"/>
          <w:szCs w:val="24"/>
        </w:rPr>
      </w:pPr>
      <w:r>
        <w:rPr>
          <w:i/>
          <w:iCs/>
          <w:sz w:val="24"/>
          <w:szCs w:val="24"/>
        </w:rPr>
        <w:t>Uchwała Nr XXXIII/256/2018 RG. w ww. sprawie stanowi załącznik nr 5 do niniejszego protokołu.</w:t>
      </w:r>
    </w:p>
    <w:p>
      <w:pPr>
        <w:pStyle w:val="Normal"/>
        <w:ind w:left="850" w:hanging="850"/>
        <w:rPr>
          <w:b/>
          <w:b/>
          <w:sz w:val="24"/>
          <w:szCs w:val="24"/>
        </w:rPr>
      </w:pPr>
      <w:r>
        <w:rPr>
          <w:b/>
          <w:sz w:val="24"/>
          <w:szCs w:val="24"/>
        </w:rPr>
      </w:r>
    </w:p>
    <w:p>
      <w:pPr>
        <w:pStyle w:val="Normal"/>
        <w:ind w:left="851" w:hanging="851"/>
        <w:jc w:val="both"/>
        <w:rPr>
          <w:b/>
          <w:b/>
          <w:color w:val="00000A"/>
          <w:sz w:val="24"/>
          <w:szCs w:val="24"/>
        </w:rPr>
      </w:pPr>
      <w:r>
        <w:rPr>
          <w:b/>
          <w:sz w:val="24"/>
          <w:szCs w:val="24"/>
        </w:rPr>
        <w:t xml:space="preserve">Pkt 6. - Projekt uchwały w sprawie </w:t>
      </w:r>
      <w:r>
        <w:rPr>
          <w:b/>
          <w:color w:val="00000A"/>
          <w:sz w:val="24"/>
          <w:szCs w:val="24"/>
        </w:rPr>
        <w:t>podziału Gminy Lidzbark Warmiński na okręgi wyborcze, ustalenia ich granic i numerów oraz liczby radnych wybieranych w każdym okręgu.</w:t>
      </w:r>
    </w:p>
    <w:p>
      <w:pPr>
        <w:pStyle w:val="Normal"/>
        <w:ind w:firstLine="708"/>
        <w:jc w:val="both"/>
        <w:rPr>
          <w:color w:val="00000A"/>
          <w:sz w:val="24"/>
          <w:szCs w:val="24"/>
        </w:rPr>
      </w:pPr>
      <w:r>
        <w:rPr>
          <w:color w:val="00000A"/>
          <w:sz w:val="24"/>
          <w:szCs w:val="24"/>
        </w:rPr>
        <w:t>Obowiązek podjęcia uchwały w sprawie okręgów wyborczych wynika z art. 12 ust. 1 i 2 ustawy  z dnia 11 stycznia 2018 r. – o zmianie niektórych ustaw w celu zwiększenia udziału obywateli w procesie wybierania, funkcjonowania i kontrolowania niektórych organów publicznych.</w:t>
      </w:r>
    </w:p>
    <w:p>
      <w:pPr>
        <w:pStyle w:val="Normal"/>
        <w:ind w:firstLine="708"/>
        <w:jc w:val="both"/>
        <w:rPr>
          <w:color w:val="00000A"/>
          <w:sz w:val="24"/>
          <w:szCs w:val="24"/>
        </w:rPr>
      </w:pPr>
      <w:r>
        <w:rPr>
          <w:color w:val="00000A"/>
          <w:sz w:val="24"/>
          <w:szCs w:val="24"/>
        </w:rPr>
        <w:t xml:space="preserve">Zgodnie  z ww. przepisem – Rada Gminy jest zobowiązana do podjęcia tej uchwały w terminie </w:t>
      </w:r>
      <w:r>
        <w:rPr>
          <w:b/>
          <w:color w:val="00000A"/>
          <w:sz w:val="24"/>
          <w:szCs w:val="24"/>
        </w:rPr>
        <w:t>60 dni</w:t>
      </w:r>
      <w:r>
        <w:rPr>
          <w:color w:val="00000A"/>
          <w:sz w:val="24"/>
          <w:szCs w:val="24"/>
        </w:rPr>
        <w:t xml:space="preserve"> od dnia wejścia w życie w/w ustawy. tzn., że ostateczny termin jej uchwalenia upływa z dniem 31 marca br.</w:t>
      </w:r>
    </w:p>
    <w:p>
      <w:pPr>
        <w:pStyle w:val="Normal"/>
        <w:ind w:firstLine="708"/>
        <w:jc w:val="both"/>
        <w:rPr>
          <w:color w:val="00000A"/>
          <w:sz w:val="24"/>
          <w:szCs w:val="24"/>
        </w:rPr>
      </w:pPr>
      <w:r>
        <w:rPr>
          <w:color w:val="00000A"/>
          <w:sz w:val="24"/>
          <w:szCs w:val="24"/>
        </w:rPr>
        <w:t>Zgodnie z wytycznymi Państwowej Komisji Wyborczej - Wójt, przed przedstawieniem Radzie Gm. wniosku w sprawie podziału gminy na okręgi wyborcze był zobowiązany skonsultować ww. projekt uchwały z Komisarzem Wyborczym w Elblągu. Pismem z dnia 13 marca br. Komisarz Wyborczy poinformował, że nie wnosi uwag do przedstawionego projektu uchwały.</w:t>
      </w:r>
    </w:p>
    <w:p>
      <w:pPr>
        <w:pStyle w:val="Normal"/>
        <w:tabs>
          <w:tab w:val="left" w:pos="0" w:leader="none"/>
        </w:tabs>
        <w:jc w:val="both"/>
        <w:rPr>
          <w:color w:val="00000A"/>
          <w:sz w:val="24"/>
          <w:szCs w:val="24"/>
        </w:rPr>
      </w:pPr>
      <w:r>
        <w:rPr>
          <w:color w:val="00000A"/>
          <w:sz w:val="24"/>
          <w:szCs w:val="24"/>
        </w:rPr>
        <w:tab/>
        <w:t xml:space="preserve">Projekt uchwały omawiany był na posiedzeniach Komisji Rady Gminy i został zaopiniowany pozytywnie.  </w:t>
      </w:r>
    </w:p>
    <w:p>
      <w:pPr>
        <w:pStyle w:val="Normal"/>
        <w:ind w:left="850" w:hanging="850"/>
        <w:jc w:val="both"/>
        <w:rPr>
          <w:sz w:val="24"/>
          <w:szCs w:val="24"/>
        </w:rPr>
      </w:pPr>
      <w:r>
        <w:rPr>
          <w:sz w:val="24"/>
          <w:szCs w:val="24"/>
        </w:rPr>
        <w:t>V</w:t>
        <w:noBreakHyphen/>
        <w:t>ce Przewodniczący RG. p. Leszek Maciejewski</w:t>
      </w:r>
      <w:r>
        <w:rPr>
          <w:b/>
          <w:sz w:val="24"/>
          <w:szCs w:val="24"/>
        </w:rPr>
        <w:t xml:space="preserve"> </w:t>
      </w:r>
      <w:r>
        <w:rPr>
          <w:sz w:val="24"/>
          <w:szCs w:val="24"/>
        </w:rPr>
        <w:t>przedstawił projekt uchwały w tej sprawie.</w:t>
      </w:r>
    </w:p>
    <w:p>
      <w:pPr>
        <w:pStyle w:val="Tekstpodstawowywcity31"/>
        <w:spacing w:before="0" w:after="0"/>
        <w:ind w:left="0" w:hanging="0"/>
        <w:jc w:val="both"/>
        <w:rPr>
          <w:sz w:val="24"/>
          <w:szCs w:val="24"/>
        </w:rPr>
      </w:pPr>
      <w:r>
        <w:rPr>
          <w:sz w:val="24"/>
          <w:szCs w:val="24"/>
        </w:rPr>
        <w:t>Nie było zgłoszeń do projektu uchwały, w związku z tym poddano go pod głosowanie.</w:t>
      </w:r>
    </w:p>
    <w:p>
      <w:pPr>
        <w:pStyle w:val="Normal"/>
        <w:ind w:firstLine="708"/>
        <w:jc w:val="both"/>
        <w:rPr>
          <w:color w:val="00000A"/>
          <w:sz w:val="24"/>
          <w:szCs w:val="24"/>
        </w:rPr>
      </w:pPr>
      <w:r>
        <w:rPr>
          <w:sz w:val="24"/>
          <w:szCs w:val="24"/>
        </w:rPr>
        <w:t>W wyniku głosowania, w którym wzięło udział 14 radnych, Rada Gminy jednogłośnie</w:t>
        <w:br/>
        <w:t>(14 głosów „ZA”, 0 głosów „PRZECIW”, nikt nie wstrzymał się od głosu) podjęła uchwałę</w:t>
        <w:br/>
        <w:t xml:space="preserve">w sprawie  </w:t>
      </w:r>
      <w:r>
        <w:rPr>
          <w:color w:val="00000A"/>
          <w:sz w:val="24"/>
          <w:szCs w:val="24"/>
        </w:rPr>
        <w:t>podziału Gminy Lidzbark Warmiński na okręgi wyborcze, ustalenia ich granic i numerów oraz liczby radnych wybieranych w każdym okręgu.</w:t>
      </w:r>
    </w:p>
    <w:p>
      <w:pPr>
        <w:pStyle w:val="Wcicietrecitekstu"/>
        <w:tabs>
          <w:tab w:val="left" w:pos="0" w:leader="none"/>
        </w:tabs>
        <w:ind w:left="0" w:hanging="0"/>
        <w:rPr>
          <w:i/>
          <w:i/>
          <w:iCs/>
          <w:sz w:val="24"/>
          <w:szCs w:val="24"/>
        </w:rPr>
      </w:pPr>
      <w:r>
        <w:rPr>
          <w:i/>
          <w:iCs/>
          <w:sz w:val="24"/>
          <w:szCs w:val="24"/>
        </w:rPr>
        <w:t>Uchwała Nr XXXIII/257/2018 RG. w ww. sprawie stanowi załącznik nr 6 do niniejszego protokołu.</w:t>
      </w:r>
    </w:p>
    <w:p>
      <w:pPr>
        <w:pStyle w:val="Normal"/>
        <w:ind w:left="850" w:hanging="850"/>
        <w:jc w:val="both"/>
        <w:rPr>
          <w:b/>
          <w:b/>
          <w:sz w:val="24"/>
          <w:szCs w:val="24"/>
        </w:rPr>
      </w:pPr>
      <w:r>
        <w:rPr>
          <w:b/>
          <w:sz w:val="24"/>
          <w:szCs w:val="24"/>
        </w:rPr>
      </w:r>
    </w:p>
    <w:p>
      <w:pPr>
        <w:pStyle w:val="Normal"/>
        <w:ind w:left="993" w:hanging="992"/>
        <w:jc w:val="both"/>
        <w:rPr>
          <w:color w:val="00000A"/>
          <w:sz w:val="24"/>
          <w:szCs w:val="24"/>
        </w:rPr>
      </w:pPr>
      <w:r>
        <w:rPr>
          <w:b/>
          <w:sz w:val="24"/>
          <w:szCs w:val="24"/>
        </w:rPr>
        <w:t xml:space="preserve">Pkt 7. - Projekt uchwały w sprawie </w:t>
      </w:r>
      <w:r>
        <w:rPr>
          <w:b/>
          <w:color w:val="00000A"/>
          <w:sz w:val="24"/>
          <w:szCs w:val="24"/>
        </w:rPr>
        <w:t xml:space="preserve">podziału Gminy Lidzbark Warmiński na stałe obwody głosowania, ustalenia ich granic i numerów oraz siedzib obwodowych komisji wyborczych. </w:t>
      </w:r>
      <w:r>
        <w:rPr>
          <w:color w:val="00000A"/>
          <w:sz w:val="24"/>
          <w:szCs w:val="24"/>
        </w:rPr>
        <w:t xml:space="preserve"> </w:t>
      </w:r>
      <w:r>
        <w:rPr>
          <w:b/>
          <w:color w:val="00000A"/>
          <w:sz w:val="24"/>
          <w:szCs w:val="24"/>
        </w:rPr>
        <w:t xml:space="preserve">  </w:t>
      </w:r>
    </w:p>
    <w:p>
      <w:pPr>
        <w:pStyle w:val="Normal"/>
        <w:ind w:left="1843" w:hanging="992"/>
        <w:jc w:val="both"/>
        <w:rPr>
          <w:color w:val="00000A"/>
          <w:sz w:val="24"/>
          <w:szCs w:val="24"/>
        </w:rPr>
      </w:pPr>
      <w:r>
        <w:rPr>
          <w:color w:val="00000A"/>
          <w:sz w:val="24"/>
          <w:szCs w:val="24"/>
        </w:rPr>
      </w:r>
    </w:p>
    <w:p>
      <w:pPr>
        <w:pStyle w:val="Normal"/>
        <w:ind w:firstLine="708"/>
        <w:jc w:val="both"/>
        <w:rPr>
          <w:color w:val="00000A"/>
          <w:sz w:val="24"/>
          <w:szCs w:val="24"/>
        </w:rPr>
      </w:pPr>
      <w:r>
        <w:rPr>
          <w:color w:val="00000A"/>
          <w:sz w:val="24"/>
          <w:szCs w:val="24"/>
        </w:rPr>
        <w:t>Przewodniczący Rady Gminy - obowiązek podjęcia uchwały w sprawie podziału Gminy na stałe obwody głosowania wynika z  art. 13 ust. 1 i 2 ustawy  z dnia 11 stycznia 2018 r. – o zmianie niektórych ustaw w celu zwiększenia udziału obywateli  w procesie wybierania, funkcjonowania i kontrolowania niektórych organów publicznych.</w:t>
      </w:r>
    </w:p>
    <w:p>
      <w:pPr>
        <w:pStyle w:val="Normal"/>
        <w:ind w:firstLine="708"/>
        <w:jc w:val="both"/>
        <w:rPr>
          <w:color w:val="00000A"/>
          <w:sz w:val="24"/>
          <w:szCs w:val="24"/>
        </w:rPr>
      </w:pPr>
      <w:r>
        <w:rPr>
          <w:color w:val="00000A"/>
          <w:sz w:val="24"/>
          <w:szCs w:val="24"/>
        </w:rPr>
        <w:t>Zgodnie  z w/w przepisem – Rada Gminy jest zobowiązana do podjęcia tej uchwały w terminie 1 miesiąca od dnia podziału gminy na okręgi wyborcze.</w:t>
      </w:r>
    </w:p>
    <w:p>
      <w:pPr>
        <w:pStyle w:val="Normal"/>
        <w:tabs>
          <w:tab w:val="left" w:pos="0" w:leader="none"/>
        </w:tabs>
        <w:jc w:val="both"/>
        <w:rPr>
          <w:color w:val="00000A"/>
          <w:sz w:val="24"/>
          <w:szCs w:val="24"/>
        </w:rPr>
      </w:pPr>
      <w:r>
        <w:rPr>
          <w:color w:val="00000A"/>
          <w:sz w:val="24"/>
          <w:szCs w:val="24"/>
        </w:rPr>
        <w:tab/>
        <w:t>Projekt  w/w uchwały  był skonsultowany z Komisarzem Wyborczym</w:t>
        <w:br/>
        <w:t>w Elblągu, który pismem z dnia 13 marca br. poinformował, że nie wnosi uwag do przedstawionego projektu uchwały oraz omawiany był</w:t>
      </w:r>
      <w:r>
        <w:rPr>
          <w:bCs/>
          <w:sz w:val="24"/>
          <w:szCs w:val="24"/>
        </w:rPr>
        <w:t xml:space="preserve"> na posiedzeniach Komisji Rady Gminy gdzie został zaopiniowany pozytywnie.</w:t>
      </w:r>
    </w:p>
    <w:p>
      <w:pPr>
        <w:pStyle w:val="Normal"/>
        <w:tabs>
          <w:tab w:val="left" w:pos="360" w:leader="none"/>
        </w:tabs>
        <w:jc w:val="both"/>
        <w:rPr>
          <w:sz w:val="24"/>
          <w:szCs w:val="24"/>
        </w:rPr>
      </w:pPr>
      <w:r>
        <w:rPr>
          <w:sz w:val="24"/>
          <w:szCs w:val="24"/>
        </w:rPr>
        <w:t>V</w:t>
        <w:noBreakHyphen/>
        <w:t>ce Przewodniczący RG. p. Leszek Maciejewski odczytał projekt uchwały w tej sprawie.</w:t>
      </w:r>
    </w:p>
    <w:p>
      <w:pPr>
        <w:pStyle w:val="Tekstpodstawowywcity31"/>
        <w:spacing w:before="0" w:after="0"/>
        <w:ind w:left="0" w:hanging="0"/>
        <w:jc w:val="both"/>
        <w:rPr>
          <w:sz w:val="24"/>
          <w:szCs w:val="24"/>
        </w:rPr>
      </w:pPr>
      <w:r>
        <w:rPr>
          <w:sz w:val="24"/>
          <w:szCs w:val="24"/>
        </w:rPr>
        <w:t>Nie było zgłoszeń do projektu uchwały, w związku z tym poddano go pod głosowanie.</w:t>
      </w:r>
    </w:p>
    <w:p>
      <w:pPr>
        <w:pStyle w:val="Normal"/>
        <w:tabs>
          <w:tab w:val="left" w:pos="426" w:leader="none"/>
          <w:tab w:val="left" w:pos="502" w:leader="none"/>
        </w:tabs>
        <w:ind w:firstLine="709"/>
        <w:jc w:val="both"/>
        <w:rPr/>
      </w:pPr>
      <w:r>
        <w:rPr>
          <w:sz w:val="24"/>
          <w:szCs w:val="24"/>
        </w:rPr>
        <w:t>W wyniku głosowania, w którym wzięło udział 11 radnych, Rada Gminy jednogłośnie</w:t>
        <w:br/>
        <w:t>(11 głosów „ZA”, 0 głosów „PRZECIW”, nikt nie wstrzymał się od głosu) podjęła uchwałę</w:t>
        <w:br/>
        <w:t xml:space="preserve">w sprawie  </w:t>
      </w:r>
      <w:r>
        <w:rPr>
          <w:color w:val="00000A"/>
          <w:sz w:val="24"/>
          <w:szCs w:val="24"/>
        </w:rPr>
        <w:t>podziału Gminy Lidzbark Warmiński na stałe obwody głosowania, ustalenia ich granic i numerów oraz siedzib obwodowych komisji wyborczych.</w:t>
      </w:r>
    </w:p>
    <w:p>
      <w:pPr>
        <w:pStyle w:val="Wcicietrecitekstu"/>
        <w:tabs>
          <w:tab w:val="left" w:pos="709" w:leader="none"/>
        </w:tabs>
        <w:ind w:left="0" w:hanging="0"/>
        <w:rPr>
          <w:i/>
          <w:i/>
          <w:sz w:val="24"/>
          <w:szCs w:val="24"/>
        </w:rPr>
      </w:pPr>
      <w:r>
        <w:rPr>
          <w:i/>
          <w:sz w:val="24"/>
          <w:szCs w:val="24"/>
        </w:rPr>
        <w:t>Uchwała Nr XXXIII/258/2018 RG. w ww. sprawie stanowi załącznik nr 7 do niniejszego protokołu.</w:t>
      </w:r>
    </w:p>
    <w:p>
      <w:pPr>
        <w:pStyle w:val="Wcicietrecitekstu"/>
        <w:tabs>
          <w:tab w:val="left" w:pos="709" w:leader="none"/>
        </w:tabs>
        <w:ind w:left="0" w:hanging="0"/>
        <w:rPr>
          <w:i/>
          <w:i/>
          <w:sz w:val="24"/>
          <w:szCs w:val="24"/>
        </w:rPr>
      </w:pPr>
      <w:r>
        <w:rPr>
          <w:i/>
          <w:sz w:val="24"/>
          <w:szCs w:val="24"/>
        </w:rPr>
      </w:r>
    </w:p>
    <w:p>
      <w:pPr>
        <w:pStyle w:val="Normal"/>
        <w:tabs>
          <w:tab w:val="left" w:pos="1080" w:leader="none"/>
          <w:tab w:val="left" w:pos="1260" w:leader="none"/>
          <w:tab w:val="left" w:pos="3240" w:leader="none"/>
          <w:tab w:val="left" w:pos="3960" w:leader="none"/>
          <w:tab w:val="left" w:pos="4320" w:leader="none"/>
          <w:tab w:val="left" w:pos="4500" w:leader="none"/>
        </w:tabs>
        <w:ind w:left="993" w:hanging="993"/>
        <w:jc w:val="both"/>
        <w:rPr>
          <w:color w:val="00000A"/>
          <w:sz w:val="24"/>
          <w:szCs w:val="24"/>
        </w:rPr>
      </w:pPr>
      <w:r>
        <w:rPr>
          <w:b/>
          <w:sz w:val="24"/>
          <w:szCs w:val="24"/>
        </w:rPr>
        <w:t xml:space="preserve">Pkt 8. – Projekt uchwały  w sprawie </w:t>
      </w:r>
      <w:r>
        <w:rPr>
          <w:b/>
          <w:color w:val="00000A"/>
          <w:sz w:val="24"/>
          <w:szCs w:val="24"/>
        </w:rPr>
        <w:t>wykazu kąpielisk na terenie gminy Lidzbark Warmiński na rok 2018.</w:t>
      </w:r>
    </w:p>
    <w:p>
      <w:pPr>
        <w:pStyle w:val="Normal"/>
        <w:jc w:val="both"/>
        <w:rPr>
          <w:color w:val="00000A"/>
          <w:sz w:val="24"/>
          <w:szCs w:val="24"/>
        </w:rPr>
      </w:pPr>
      <w:r>
        <w:rPr>
          <w:color w:val="00000A"/>
          <w:sz w:val="24"/>
          <w:szCs w:val="24"/>
        </w:rPr>
        <w:t xml:space="preserve"> </w:t>
      </w:r>
    </w:p>
    <w:p>
      <w:pPr>
        <w:pStyle w:val="Normal"/>
        <w:ind w:firstLine="708"/>
        <w:jc w:val="both"/>
        <w:rPr>
          <w:color w:val="00000A"/>
          <w:sz w:val="24"/>
          <w:szCs w:val="24"/>
          <w:lang w:eastAsia="pl-PL"/>
        </w:rPr>
      </w:pPr>
      <w:r>
        <w:rPr>
          <w:color w:val="00000A"/>
          <w:sz w:val="24"/>
          <w:szCs w:val="24"/>
        </w:rPr>
        <w:t>Przewodniczący Rady Gminy - na podstawie art. 37 ust. 1 ustawy z dnia 20 lipca 2017r. Prawo wodne na Radę Gminy nałożony został obowiązek podjęcia uchwały, corocznie do 20 maja,</w:t>
        <w:br/>
        <w:t xml:space="preserve">w sprawie wykazu kąpieliska na terenie gminy. </w:t>
      </w:r>
    </w:p>
    <w:p>
      <w:pPr>
        <w:pStyle w:val="Normal"/>
        <w:ind w:firstLine="708"/>
        <w:jc w:val="both"/>
        <w:rPr>
          <w:color w:val="00000A"/>
          <w:sz w:val="24"/>
          <w:szCs w:val="24"/>
          <w:lang w:eastAsia="pl-PL"/>
        </w:rPr>
      </w:pPr>
      <w:r>
        <w:rPr>
          <w:color w:val="00000A"/>
          <w:sz w:val="24"/>
          <w:szCs w:val="24"/>
          <w:lang w:eastAsia="pl-PL"/>
        </w:rPr>
        <w:t>Wniosek o ujęcie w wykazie kąpielisk składa organizator kąpieliska w terminie do 31 grudnia roku poprzedzającego sezon kąpielowy. Kierownik Ośrodka Sportu</w:t>
        <w:br/>
        <w:t xml:space="preserve">i Rekreacji w Lidzbarku Warmińskim wystąpił z wnioskiem z dnia 14.12.2017r. o umieszczenie w wykazie kąpielisk Plaży Miejskiej usytuowanej w gminie Lidzbark Warmiński nad jeziorem Wielochowskim. </w:t>
      </w:r>
    </w:p>
    <w:p>
      <w:pPr>
        <w:pStyle w:val="Normal"/>
        <w:ind w:firstLine="708"/>
        <w:jc w:val="both"/>
        <w:rPr>
          <w:color w:val="00000A"/>
          <w:sz w:val="24"/>
          <w:szCs w:val="24"/>
        </w:rPr>
      </w:pPr>
      <w:r>
        <w:rPr>
          <w:color w:val="00000A"/>
          <w:sz w:val="24"/>
          <w:szCs w:val="24"/>
          <w:lang w:eastAsia="pl-PL"/>
        </w:rPr>
        <w:t>Projekt uchwały został pozytywnie zaopiniowany przez Dyrektora Regionalnego Zarządu Gospodarki Wodnej, Wojewódzkiemu Inspektorowi Ochrony Środowiska, Państwowemu Powiatowemu Inspektorowi Sanitarnemu oraz Staroście Lidzbarskiemu.</w:t>
      </w:r>
    </w:p>
    <w:p>
      <w:pPr>
        <w:pStyle w:val="Normal"/>
        <w:ind w:firstLine="708"/>
        <w:jc w:val="both"/>
        <w:rPr>
          <w:bCs/>
          <w:sz w:val="24"/>
          <w:szCs w:val="24"/>
        </w:rPr>
      </w:pPr>
      <w:r>
        <w:rPr>
          <w:bCs/>
          <w:sz w:val="24"/>
          <w:szCs w:val="24"/>
        </w:rPr>
        <w:t>Projekt uchwały omawiany był na posiedzeniach Komisji Rady Gminy i został zaopiniowany pozytywnie.</w:t>
      </w:r>
    </w:p>
    <w:p>
      <w:pPr>
        <w:pStyle w:val="Normal"/>
        <w:jc w:val="both"/>
        <w:rPr>
          <w:bCs/>
          <w:sz w:val="24"/>
          <w:szCs w:val="24"/>
        </w:rPr>
      </w:pPr>
      <w:r>
        <w:rPr>
          <w:bCs/>
          <w:sz w:val="24"/>
          <w:szCs w:val="24"/>
        </w:rPr>
        <w:t>V-ce Przewodniczący RG. p. Leszek Maciejewski przedstawił projekt  uchwały w tej sprawie.</w:t>
      </w:r>
    </w:p>
    <w:p>
      <w:pPr>
        <w:pStyle w:val="Normal"/>
        <w:jc w:val="both"/>
        <w:rPr>
          <w:bCs/>
          <w:sz w:val="24"/>
          <w:szCs w:val="24"/>
        </w:rPr>
      </w:pPr>
      <w:r>
        <w:rPr>
          <w:bCs/>
          <w:sz w:val="24"/>
          <w:szCs w:val="24"/>
        </w:rPr>
        <w:t>Nie było zgłoszeń do projektu uchwały, w związku z tym poddano go pod głosowanie.</w:t>
      </w:r>
    </w:p>
    <w:p>
      <w:pPr>
        <w:pStyle w:val="Normal"/>
        <w:tabs>
          <w:tab w:val="left" w:pos="0" w:leader="none"/>
          <w:tab w:val="left" w:pos="1260" w:leader="none"/>
          <w:tab w:val="left" w:pos="3240" w:leader="none"/>
          <w:tab w:val="left" w:pos="3960" w:leader="none"/>
          <w:tab w:val="left" w:pos="4320" w:leader="none"/>
          <w:tab w:val="left" w:pos="4500" w:leader="none"/>
        </w:tabs>
        <w:jc w:val="both"/>
        <w:rPr>
          <w:color w:val="00000A"/>
          <w:sz w:val="24"/>
          <w:szCs w:val="24"/>
        </w:rPr>
      </w:pPr>
      <w:r>
        <w:rPr>
          <w:bCs/>
          <w:sz w:val="24"/>
          <w:szCs w:val="24"/>
        </w:rPr>
        <w:t xml:space="preserve">W wyniku głosowania, w którym wzięło udział 14 radnych, Rada Gminy jednogłośnie (14 głosów „ZA”, 0 głosów „PRZECIW”, nikt nie wstrzymał się od głosu) podjęła uchwałę </w:t>
      </w:r>
      <w:r>
        <w:rPr>
          <w:sz w:val="24"/>
          <w:szCs w:val="24"/>
        </w:rPr>
        <w:t xml:space="preserve">w sprawie </w:t>
      </w:r>
      <w:r>
        <w:rPr>
          <w:color w:val="00000A"/>
          <w:sz w:val="24"/>
          <w:szCs w:val="24"/>
        </w:rPr>
        <w:t>wykazu kąpielisk na terenie gminy Lidzbark Warmiński na rok 2018.</w:t>
      </w:r>
    </w:p>
    <w:p>
      <w:pPr>
        <w:pStyle w:val="Wcicietrecitekstu"/>
        <w:tabs>
          <w:tab w:val="left" w:pos="709" w:leader="none"/>
        </w:tabs>
        <w:ind w:left="0" w:hanging="0"/>
        <w:rPr>
          <w:i/>
          <w:i/>
          <w:sz w:val="24"/>
          <w:szCs w:val="24"/>
        </w:rPr>
      </w:pPr>
      <w:r>
        <w:rPr>
          <w:i/>
          <w:sz w:val="24"/>
          <w:szCs w:val="24"/>
        </w:rPr>
        <w:t>Uchwała Nr XXXIII/259/2018 RG. w ww. sprawie stanowi załącznik nr 8 do niniejszego protokołu.</w:t>
      </w:r>
    </w:p>
    <w:p>
      <w:pPr>
        <w:pStyle w:val="Wcicietrecitekstu"/>
        <w:tabs>
          <w:tab w:val="left" w:pos="709" w:leader="none"/>
        </w:tabs>
        <w:ind w:left="900" w:hanging="900"/>
        <w:rPr>
          <w:b/>
          <w:b/>
          <w:i/>
          <w:i/>
          <w:sz w:val="24"/>
          <w:szCs w:val="24"/>
        </w:rPr>
      </w:pPr>
      <w:r>
        <w:rPr>
          <w:b/>
          <w:i/>
          <w:sz w:val="24"/>
          <w:szCs w:val="24"/>
        </w:rPr>
      </w:r>
    </w:p>
    <w:p>
      <w:pPr>
        <w:pStyle w:val="Wcicietrecitekstu"/>
        <w:tabs>
          <w:tab w:val="left" w:pos="0" w:leader="none"/>
        </w:tabs>
        <w:ind w:left="0" w:hanging="0"/>
        <w:rPr>
          <w:b/>
          <w:b/>
          <w:i/>
          <w:i/>
          <w:sz w:val="24"/>
          <w:szCs w:val="24"/>
        </w:rPr>
      </w:pPr>
      <w:r>
        <w:rPr>
          <w:b/>
          <w:i/>
          <w:sz w:val="24"/>
          <w:szCs w:val="24"/>
        </w:rPr>
        <w:t xml:space="preserve"> </w:t>
      </w:r>
    </w:p>
    <w:p>
      <w:pPr>
        <w:pStyle w:val="Wcicietrecitekstu"/>
        <w:tabs>
          <w:tab w:val="left" w:pos="0" w:leader="none"/>
        </w:tabs>
        <w:ind w:left="0" w:hanging="0"/>
        <w:rPr/>
      </w:pPr>
      <w:r>
        <w:rPr>
          <w:b/>
          <w:sz w:val="24"/>
          <w:szCs w:val="24"/>
        </w:rPr>
        <w:t>Pkt 9. – Informacja Wójta z bieżącej działalności gminy.</w:t>
      </w:r>
    </w:p>
    <w:p>
      <w:pPr>
        <w:pStyle w:val="Normal"/>
        <w:jc w:val="both"/>
        <w:rPr>
          <w:b/>
          <w:b/>
          <w:sz w:val="24"/>
          <w:szCs w:val="24"/>
        </w:rPr>
      </w:pPr>
      <w:r>
        <w:rPr>
          <w:b/>
          <w:sz w:val="24"/>
          <w:szCs w:val="24"/>
        </w:rPr>
      </w:r>
    </w:p>
    <w:p>
      <w:pPr>
        <w:pStyle w:val="NormalWeb"/>
        <w:spacing w:before="0" w:after="0"/>
        <w:ind w:firstLine="539"/>
        <w:jc w:val="both"/>
        <w:rPr/>
      </w:pPr>
      <w:r>
        <w:rPr/>
        <w:t xml:space="preserve">Na wstępie Wójt Gminy podziękował wszystkim sołtysom i radnym za inicjatywę lokalną, za zaangażowanie i wkład pracy na rzecz społeczności lokalnej.   </w:t>
      </w:r>
    </w:p>
    <w:p>
      <w:pPr>
        <w:pStyle w:val="Normal"/>
        <w:ind w:firstLine="539"/>
        <w:jc w:val="both"/>
        <w:rPr>
          <w:rFonts w:eastAsia="Calibri"/>
          <w:color w:val="00000A"/>
          <w:sz w:val="24"/>
          <w:szCs w:val="22"/>
          <w:lang w:eastAsia="ar-SA"/>
        </w:rPr>
      </w:pPr>
      <w:r>
        <w:rPr>
          <w:rFonts w:eastAsia="Calibri"/>
          <w:color w:val="00000A"/>
          <w:sz w:val="24"/>
          <w:szCs w:val="22"/>
          <w:lang w:eastAsia="ar-SA"/>
        </w:rPr>
        <w:t>Następnie poinformował, że dokonano częściowego odbioru budowy sieci sanitarnej i wodociągowej w Kraszewie oraz na</w:t>
      </w:r>
      <w:r>
        <w:rPr>
          <w:rFonts w:eastAsia="Calibri"/>
          <w:color w:val="00000A"/>
          <w:sz w:val="24"/>
          <w:szCs w:val="22"/>
          <w:lang w:eastAsia="pl-PL"/>
        </w:rPr>
        <w:t xml:space="preserve"> końcowym etapie jest budowa </w:t>
      </w:r>
      <w:r>
        <w:rPr>
          <w:rFonts w:eastAsia="Calibri"/>
          <w:color w:val="00000A"/>
          <w:sz w:val="24"/>
          <w:szCs w:val="22"/>
          <w:lang w:eastAsia="ar-SA"/>
        </w:rPr>
        <w:t>sieci wodociągowej w Nowej Wsi Wielkiej.</w:t>
      </w:r>
    </w:p>
    <w:p>
      <w:pPr>
        <w:pStyle w:val="Normal"/>
        <w:ind w:firstLine="539"/>
        <w:jc w:val="both"/>
        <w:rPr>
          <w:rFonts w:eastAsia="Calibri"/>
          <w:color w:val="00000A"/>
          <w:sz w:val="24"/>
          <w:szCs w:val="22"/>
          <w:lang w:eastAsia="ar-SA"/>
        </w:rPr>
      </w:pPr>
      <w:r>
        <w:rPr>
          <w:rFonts w:eastAsia="Calibri"/>
          <w:color w:val="00000A"/>
          <w:sz w:val="24"/>
          <w:szCs w:val="22"/>
          <w:lang w:eastAsia="ar-SA"/>
        </w:rPr>
        <w:t xml:space="preserve">W okresie między sesjami nie sprzedano żadnej nieruchomości. W ogłaszanych przetargach utrzymujemy cenę nieruchomości, jednak jak nie będzie chętnych to będziemy zmuszeni obniżyć cenę wywoławczą. </w:t>
      </w:r>
    </w:p>
    <w:p>
      <w:pPr>
        <w:pStyle w:val="Normal"/>
        <w:ind w:firstLine="539"/>
        <w:jc w:val="both"/>
        <w:rPr>
          <w:color w:val="000000"/>
          <w:sz w:val="24"/>
        </w:rPr>
      </w:pPr>
      <w:r>
        <w:rPr>
          <w:rFonts w:eastAsia="Calibri"/>
          <w:color w:val="00000A"/>
          <w:sz w:val="24"/>
          <w:szCs w:val="22"/>
          <w:lang w:eastAsia="ar-SA"/>
        </w:rPr>
        <w:t xml:space="preserve">Ogłosiliśmy przetargi na sprzedaż nieruchomości </w:t>
      </w:r>
      <w:r>
        <w:rPr>
          <w:sz w:val="24"/>
        </w:rPr>
        <w:t xml:space="preserve">niezabudowanej w Markajmach cena wywoławcza 470.000,00 zł + VAT, działki gruntu w Surytach o łącznej powierzchni 2,8192 ha, cena 55.000,00 zł, w Runowie działka nr 26/5 zabudowana budynkiem gospodarczym, cena  4.000,00 zł, lokal mieszkalny w Runowie  nr 51/2, cena </w:t>
      </w:r>
      <w:r>
        <w:rPr>
          <w:color w:val="000000"/>
          <w:sz w:val="24"/>
        </w:rPr>
        <w:t xml:space="preserve">50.000 zł., niezabudowane działki:  nr 182/9 w Blankach - 250.000,00 zł, nr 2/4 w  Runowie - 18.000,00 zł,  nr 2/25 i 2/26 w Markajmach -  250.000,00 zł oraz działkę nr 80/4 zabudowaną studnią głębinową w Drwęcy za kwotę 4.500,00 zł. </w:t>
      </w:r>
    </w:p>
    <w:p>
      <w:pPr>
        <w:pStyle w:val="Normal"/>
        <w:ind w:firstLine="539"/>
        <w:jc w:val="both"/>
        <w:rPr>
          <w:sz w:val="24"/>
        </w:rPr>
      </w:pPr>
      <w:r>
        <w:rPr>
          <w:color w:val="000000"/>
          <w:sz w:val="24"/>
        </w:rPr>
        <w:t>Do tej pory p</w:t>
      </w:r>
      <w:r>
        <w:rPr>
          <w:sz w:val="24"/>
        </w:rPr>
        <w:t>rzyjęto 2 wnioski o udzielenie dotacji na budowę przydomowych oczyszczalni ścieków, termin przyjmowania tych wniosków upływa 31 marca 2018 r.  Do 12 marca br.  trwał nabór wniosków na usunięcie odpadów zawierających azbest. Łącznie wpłynęło 7 wniosków.</w:t>
      </w:r>
    </w:p>
    <w:p>
      <w:pPr>
        <w:pStyle w:val="Normal"/>
        <w:suppressAutoHyphens w:val="false"/>
        <w:spacing w:lineRule="auto" w:line="276" w:before="0" w:after="0"/>
        <w:ind w:firstLine="539"/>
        <w:contextualSpacing/>
        <w:jc w:val="both"/>
        <w:rPr>
          <w:rFonts w:eastAsia="Calibri"/>
          <w:color w:val="00000A"/>
          <w:sz w:val="24"/>
          <w:szCs w:val="24"/>
          <w:lang w:eastAsia="en-US"/>
        </w:rPr>
      </w:pPr>
      <w:r>
        <w:rPr>
          <w:rFonts w:eastAsia="Calibri"/>
          <w:color w:val="00000A"/>
          <w:sz w:val="24"/>
          <w:szCs w:val="24"/>
          <w:lang w:eastAsia="en-US"/>
        </w:rPr>
        <w:t>Rozstrzygnięto wnioski na realizację zadań gminy w ramach inicjatywy lokalnej. Przyznano łącznie  49 854,00 zł na zadania dla mieszkańców miejscowości: Workiejmy, Wielochowo, Babiak, Blanki, Rogóż, Medyny, Knipy, Sarnowo, Świętnik, Morawa i Miejska Wola.</w:t>
      </w:r>
    </w:p>
    <w:p>
      <w:pPr>
        <w:pStyle w:val="NormalWeb"/>
        <w:spacing w:before="0" w:after="0"/>
        <w:ind w:firstLine="539"/>
        <w:jc w:val="both"/>
        <w:rPr>
          <w:color w:val="00000A"/>
          <w:lang w:eastAsia="pl-PL"/>
        </w:rPr>
      </w:pPr>
      <w:r>
        <w:rPr/>
        <w:t xml:space="preserve"> </w:t>
      </w:r>
      <w:r>
        <w:rPr/>
        <w:t xml:space="preserve">W dalszej części swojego wystąpienia Wójt poinformował, że w piątek </w:t>
      </w:r>
      <w:r>
        <w:rPr>
          <w:color w:val="00000A"/>
          <w:lang w:eastAsia="pl-PL"/>
        </w:rPr>
        <w:t>23 marca br.   uczestniczył w spotkaniu zorganizowanym przez Burmistrza Pieniężna, w którym  wzięli udział samorządowcy, przedstawiciele władz województwa, Urzędu Marszałkowskiego i Lasów Państwowych. Temat spotkania poświęcony był degradacji dróg gruntowych i kwestiom związanym z brakiem środków finansowych na ich remonty. Stan tych dróg jest bardzo istotnym problemem większości naszych gmin w województwie.</w:t>
      </w:r>
    </w:p>
    <w:p>
      <w:pPr>
        <w:pStyle w:val="NormalWeb"/>
        <w:spacing w:before="0" w:after="0"/>
        <w:ind w:firstLine="539"/>
        <w:jc w:val="both"/>
        <w:rPr>
          <w:color w:val="00000A"/>
          <w:lang w:eastAsia="pl-PL"/>
        </w:rPr>
      </w:pPr>
      <w:r>
        <w:rPr>
          <w:color w:val="00000A"/>
          <w:lang w:eastAsia="pl-PL"/>
        </w:rPr>
        <w:t xml:space="preserve">    </w:t>
      </w:r>
      <w:r>
        <w:rPr>
          <w:color w:val="00000A"/>
          <w:lang w:eastAsia="pl-PL"/>
        </w:rPr>
        <w:t xml:space="preserve">Na spotkaniu tym w imieniu samorządowców Wójt zgłosił postulat odnośnie tych dróg.  Wnioskował o dofinansowanie celowe do każdego kilometra drogi publicznej - 1km drogi – 5000zł oraz wewnętrznej - 1km drogi – 1000zł. Tak zdobyte środki finansowe należałoby przeznaczyć na bieżące remonty dróg oraz zakup materiałów do ich naprawy. Kolejna propozycja to zezwolenie gminom na wykorzystanie własnych nieruchomości, na których znajdują się kruszywa naturalne (takich jak żwiry i piaski) w celu pozyskania materiału do naprawy dróg. Wnioskowano również o pozwolenie wszystkim nadleśnictwom na wykorzystanie własnych terenów do otwierania żwirowni. Otwarcie małych żwirowni w każdym nadleśnictwie, znacznie obniżyło by koszty naprawy dróg leśnych, jak również, przy dobrej współpracy z Gminą, dróg gminnych. Po zaakceptowaniu powyższych postulatów petycja zostanie wysłana do Prezesa Rady Ministrów. </w:t>
      </w:r>
    </w:p>
    <w:p>
      <w:pPr>
        <w:pStyle w:val="Normal"/>
        <w:ind w:firstLine="709"/>
        <w:jc w:val="both"/>
        <w:rPr/>
      </w:pPr>
      <w:r>
        <w:rPr>
          <w:sz w:val="24"/>
          <w:szCs w:val="24"/>
        </w:rPr>
        <w:t xml:space="preserve">Następnie Wójt wyjaśnił sprawę awarii wodociągu Sarnowie.  Dnia 13.03.2018r. Pani Iwona Końka, sołtys Sarnowa zgłosiła do Zakładu Budżetowego EKOWOD awarię wodociągu w budynku w Sarnowie 17.  Właściciel podał, że piwnica w której znajduje się wodomierz wypełniona jest wodą i występuje przeciek na zewnątrz budynku.  Ponieważ EKOWOD nie posiada pogotowia technicznego pracującego w weekendy, usunięcie awarii możliwe było dopiero w poniedziałek. Jednak po interwencji Wójta w sobotę przystąpiono do usunięcia awarii. Przy pomocy straży pożarnej wypompowano wodę z piwnicy. Działanie to wymagało również wyłączenia w tym dniu wody w całej miejscowości na ok. 2 godzin. W czasie prowadzonych prac stwierdzono awarię za wodomierzem, spowodowaną brakiem zabezpieczenia przed mrozem przez właściciela nieruchomości. Stwierdzono również nielegalny pobór wody, gdyż dostawę wody do tego budynku zakończono w 2015r. , a właściciel samowolnie podłączył się do wodociągu. Konsekwencją tego postępowania, będzie naliczenie opłaty za korzystanie z wody przez te dwa lata oraz kara za nielegalne podłączenie do wodociągu.  Odcięto również na trwale dostawę wody do tego budynku, a ponowne przyłączenie będzie wymagało wykonania nowego przyłącza wodociągowego. </w:t>
      </w:r>
    </w:p>
    <w:p>
      <w:pPr>
        <w:pStyle w:val="Normal"/>
        <w:rPr>
          <w:i/>
          <w:i/>
          <w:sz w:val="24"/>
          <w:szCs w:val="24"/>
        </w:rPr>
      </w:pPr>
      <w:r>
        <w:rPr>
          <w:i/>
          <w:sz w:val="24"/>
          <w:szCs w:val="24"/>
        </w:rPr>
      </w:r>
    </w:p>
    <w:p>
      <w:pPr>
        <w:pStyle w:val="Normal"/>
        <w:rPr>
          <w:b/>
          <w:b/>
          <w:sz w:val="24"/>
          <w:szCs w:val="24"/>
        </w:rPr>
      </w:pPr>
      <w:r>
        <w:rPr>
          <w:b/>
          <w:sz w:val="24"/>
          <w:szCs w:val="24"/>
        </w:rPr>
      </w:r>
    </w:p>
    <w:p>
      <w:pPr>
        <w:pStyle w:val="Normal"/>
        <w:rPr>
          <w:b/>
          <w:b/>
          <w:sz w:val="24"/>
          <w:szCs w:val="24"/>
        </w:rPr>
      </w:pPr>
      <w:r>
        <w:rPr>
          <w:b/>
          <w:sz w:val="24"/>
          <w:szCs w:val="24"/>
        </w:rPr>
      </w:r>
    </w:p>
    <w:p>
      <w:pPr>
        <w:pStyle w:val="Normal"/>
        <w:rPr/>
      </w:pPr>
      <w:r>
        <w:rPr>
          <w:b/>
          <w:sz w:val="24"/>
          <w:szCs w:val="24"/>
        </w:rPr>
        <w:t>Pkt 10. – Interpelacje i wnioski.</w:t>
      </w:r>
    </w:p>
    <w:p>
      <w:pPr>
        <w:pStyle w:val="Normal"/>
        <w:ind w:firstLine="709"/>
        <w:jc w:val="both"/>
        <w:rPr>
          <w:color w:val="00000A"/>
          <w:sz w:val="24"/>
          <w:szCs w:val="24"/>
        </w:rPr>
      </w:pPr>
      <w:r>
        <w:rPr>
          <w:color w:val="00000A"/>
          <w:sz w:val="24"/>
          <w:szCs w:val="24"/>
        </w:rPr>
        <w:t xml:space="preserve"> </w:t>
      </w:r>
    </w:p>
    <w:p>
      <w:pPr>
        <w:pStyle w:val="Normal"/>
        <w:ind w:firstLine="709"/>
        <w:jc w:val="both"/>
        <w:rPr>
          <w:color w:val="00000A"/>
          <w:sz w:val="24"/>
          <w:szCs w:val="24"/>
        </w:rPr>
      </w:pPr>
      <w:r>
        <w:rPr>
          <w:color w:val="00000A"/>
          <w:sz w:val="24"/>
          <w:szCs w:val="24"/>
        </w:rPr>
        <w:t xml:space="preserve">Przewodniczący Rady Gm. poinformował, aby w przypadku wystąpienia zdarzeń kryzysowych, informować o tym bezpośrednio pracownika Urzędu Gminy merytorycznie odpowiedzialnego za Zarządzanie Kryzysowe – </w:t>
      </w:r>
      <w:r>
        <w:rPr>
          <w:bCs/>
          <w:color w:val="00000A"/>
          <w:sz w:val="24"/>
          <w:szCs w:val="24"/>
        </w:rPr>
        <w:t>Radosława Krajewskiego</w:t>
      </w:r>
      <w:r>
        <w:rPr>
          <w:color w:val="00000A"/>
          <w:sz w:val="24"/>
          <w:szCs w:val="24"/>
        </w:rPr>
        <w:t xml:space="preserve"> nr tel. </w:t>
      </w:r>
      <w:r>
        <w:rPr>
          <w:bCs/>
          <w:color w:val="00000A"/>
          <w:sz w:val="24"/>
          <w:szCs w:val="24"/>
        </w:rPr>
        <w:t>660 463 184.</w:t>
      </w:r>
    </w:p>
    <w:p>
      <w:pPr>
        <w:pStyle w:val="Normal"/>
        <w:ind w:firstLine="709"/>
        <w:jc w:val="both"/>
        <w:rPr>
          <w:color w:val="00000A"/>
          <w:sz w:val="24"/>
          <w:szCs w:val="24"/>
        </w:rPr>
      </w:pPr>
      <w:r>
        <w:rPr>
          <w:color w:val="00000A"/>
          <w:sz w:val="24"/>
          <w:szCs w:val="24"/>
        </w:rPr>
        <w:t>Skierował również prośbę do sołtysów, aby na  sołeckich tablicach ogłoszeń wywieszali zawiadomienia o zwołaniu sesji Rady Gminy, które są do nich przesyłane razem z zaproszeniem na sesję. Zawiadomienia te mają służyć informowaniu mieszkańców z terenu naszej Gminy o tym, nad czym Rada pracuje podczas obrad. Z obserwacji wynika, że nie wszędzie zawiadomienia są wywieszane.</w:t>
      </w:r>
    </w:p>
    <w:p>
      <w:pPr>
        <w:pStyle w:val="Normal"/>
        <w:jc w:val="both"/>
        <w:rPr>
          <w:sz w:val="24"/>
          <w:szCs w:val="24"/>
        </w:rPr>
      </w:pPr>
      <w:r>
        <w:rPr>
          <w:sz w:val="24"/>
          <w:szCs w:val="24"/>
        </w:rPr>
        <w:tab/>
        <w:t>Następnie głos zabrała Pani Anna Czeryba – sołtys wsi Babiak,  zaproponowała aby  dniu 14 kwietnia 2017r.  po organizowanym Przeglądzie Piosenki Biesiadnej i Popularnej w Pilniku  zorganizować imprezę rozrywkową z własnym koszyczkiem z udziałem sołtysów, radnych i pracowników Urzędu Gminy.  W ubiegłym roku nie udało się takiego spotkania zorganizować, a sporo osób zgłasza chęć uczestnictwa w takim  spotkaniu.  Poprosiła o zgłaszanie chętnych bezpośrednio do niej osobiście lub na podany nr telefonu.</w:t>
      </w:r>
    </w:p>
    <w:p>
      <w:pPr>
        <w:pStyle w:val="Normal"/>
        <w:ind w:firstLine="709"/>
        <w:jc w:val="both"/>
        <w:rPr>
          <w:sz w:val="24"/>
          <w:szCs w:val="24"/>
        </w:rPr>
      </w:pPr>
      <w:r>
        <w:rPr>
          <w:sz w:val="24"/>
          <w:szCs w:val="24"/>
        </w:rPr>
        <w:t xml:space="preserve"> </w:t>
      </w:r>
      <w:r>
        <w:rPr>
          <w:sz w:val="24"/>
          <w:szCs w:val="24"/>
        </w:rPr>
        <w:t xml:space="preserve">Stefan Mandziak – sołtys wsi Drwęca poinformował, że na ostatnim spotkaniu z sołtysami poruszył temat wycinki drzew na gruntach dzierżawionych z Krajowego Ośrodka Wsparcia Rolnictwa  i nie otrzymał odpowiedzi. Chodzi o ok. 98 ha drzewostanu na działkach w Kłusitach Wielkich. Zapytał, czy wpłynął wniosek o wycinkę tych drzew, czy jest to odtworzenie gruntów rolnych i kto wydaje zgodę? Nadmienił, że Stabunity, Drwęca i Kłusity Wielkie są jednym sołectwem i chce wiedzieć, czy te działania są legalne. </w:t>
      </w:r>
    </w:p>
    <w:p>
      <w:pPr>
        <w:pStyle w:val="Normal"/>
        <w:ind w:firstLine="709"/>
        <w:jc w:val="both"/>
        <w:rPr>
          <w:sz w:val="24"/>
          <w:szCs w:val="24"/>
        </w:rPr>
      </w:pPr>
      <w:r>
        <w:rPr>
          <w:sz w:val="24"/>
          <w:szCs w:val="24"/>
        </w:rPr>
        <w:t xml:space="preserve">Wójt  Gminy odpowiedział, że wyjaśni sprawę, udzieli sołtysowi pisemnej odpowiedzi na zgłoszony wniosek oraz przedstawi informację w tej sprawie na kolejnej sesji.  </w:t>
      </w:r>
    </w:p>
    <w:p>
      <w:pPr>
        <w:pStyle w:val="Normal"/>
        <w:jc w:val="both"/>
        <w:rPr/>
      </w:pPr>
      <w:r>
        <w:rPr>
          <w:sz w:val="24"/>
          <w:szCs w:val="24"/>
        </w:rPr>
        <w:tab/>
        <w:t>W związku z wyczerpaniem  porządku  obrad,  Przewodniczący Rady Gminy Lidzbark Warmiński – Pan Jan Znamierowski zamknął trzydziesta trzecią sesję Rady Gminy Lidzbark Warmiński, dziękując wszystkim za udział w sesji.</w:t>
      </w:r>
    </w:p>
    <w:p>
      <w:pPr>
        <w:pStyle w:val="Normal"/>
        <w:rPr>
          <w:sz w:val="24"/>
          <w:szCs w:val="24"/>
        </w:rPr>
      </w:pPr>
      <w:r>
        <w:rPr>
          <w:sz w:val="24"/>
          <w:szCs w:val="24"/>
        </w:rPr>
      </w:r>
    </w:p>
    <w:p>
      <w:pPr>
        <w:pStyle w:val="Normal"/>
        <w:rPr/>
      </w:pPr>
      <w:r>
        <w:rPr/>
      </w:r>
    </w:p>
    <w:p>
      <w:pPr>
        <w:pStyle w:val="Normal"/>
        <w:rPr/>
      </w:pPr>
      <w:r>
        <w:rPr/>
      </w:r>
    </w:p>
    <w:p>
      <w:pPr>
        <w:pStyle w:val="Normal"/>
        <w:rPr/>
      </w:pPr>
      <w:r>
        <w:rPr/>
      </w:r>
    </w:p>
    <w:p>
      <w:pPr>
        <w:pStyle w:val="Normal"/>
        <w:rPr/>
      </w:pPr>
      <w:r>
        <w:rPr/>
        <w:t>Protokolant:</w:t>
      </w:r>
      <w:r>
        <w:rPr>
          <w:sz w:val="24"/>
          <w:szCs w:val="24"/>
        </w:rPr>
        <w:tab/>
        <w:tab/>
        <w:tab/>
        <w:tab/>
        <w:tab/>
        <w:tab/>
        <w:tab/>
        <w:t xml:space="preserve">  PRZEWODNICZĄCY</w:t>
      </w:r>
    </w:p>
    <w:p>
      <w:pPr>
        <w:pStyle w:val="Normal"/>
        <w:rPr>
          <w:sz w:val="24"/>
          <w:szCs w:val="24"/>
        </w:rPr>
      </w:pPr>
      <w:r>
        <w:rPr/>
        <w:t>Renata Borkowska</w:t>
      </w:r>
      <w:r>
        <w:rPr>
          <w:sz w:val="24"/>
          <w:szCs w:val="24"/>
        </w:rPr>
        <w:tab/>
        <w:tab/>
        <w:tab/>
        <w:tab/>
        <w:tab/>
        <w:tab/>
        <w:t xml:space="preserve">         Rady Gminy</w:t>
      </w:r>
    </w:p>
    <w:p>
      <w:pPr>
        <w:pStyle w:val="Normal"/>
        <w:rPr>
          <w:sz w:val="24"/>
          <w:szCs w:val="24"/>
        </w:rPr>
      </w:pPr>
      <w:r>
        <w:rPr>
          <w:sz w:val="24"/>
          <w:szCs w:val="24"/>
        </w:rPr>
        <w:tab/>
        <w:tab/>
        <w:tab/>
        <w:tab/>
        <w:tab/>
        <w:tab/>
        <w:tab/>
        <w:tab/>
      </w:r>
      <w:r>
        <w:rPr>
          <w:b/>
          <w:sz w:val="24"/>
          <w:szCs w:val="24"/>
        </w:rPr>
        <w:t xml:space="preserve">    Jan Znamierowski</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right"/>
        <w:rPr>
          <w:sz w:val="24"/>
          <w:szCs w:val="24"/>
        </w:rPr>
      </w:pPr>
      <w:r>
        <w:rPr>
          <w:sz w:val="24"/>
          <w:szCs w:val="24"/>
        </w:rPr>
        <w:t>Załącznik nr 1</w:t>
      </w:r>
    </w:p>
    <w:p>
      <w:pPr>
        <w:pStyle w:val="Normal"/>
        <w:jc w:val="right"/>
        <w:rPr>
          <w:sz w:val="24"/>
          <w:szCs w:val="24"/>
        </w:rPr>
      </w:pPr>
      <w:r>
        <w:rPr>
          <w:sz w:val="24"/>
          <w:szCs w:val="24"/>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6119495" cy="8401685"/>
            <wp:effectExtent l="0" t="0" r="0" b="0"/>
            <wp:wrapSquare wrapText="largest"/>
            <wp:docPr id="1"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descr=""/>
                    <pic:cNvPicPr>
                      <a:picLocks noChangeAspect="1" noChangeArrowheads="1"/>
                    </pic:cNvPicPr>
                  </pic:nvPicPr>
                  <pic:blipFill>
                    <a:blip r:embed="rId2"/>
                    <a:stretch>
                      <a:fillRect/>
                    </a:stretch>
                  </pic:blipFill>
                  <pic:spPr bwMode="auto">
                    <a:xfrm>
                      <a:off x="0" y="0"/>
                      <a:ext cx="6119495" cy="8401685"/>
                    </a:xfrm>
                    <a:prstGeom prst="rect">
                      <a:avLst/>
                    </a:prstGeom>
                  </pic:spPr>
                </pic:pic>
              </a:graphicData>
            </a:graphic>
          </wp:anchor>
        </w:drawing>
      </w:r>
    </w:p>
    <w:p>
      <w:pPr>
        <w:pStyle w:val="Normal"/>
        <w:rPr>
          <w:sz w:val="24"/>
          <w:szCs w:val="24"/>
        </w:rPr>
      </w:pPr>
      <w:r>
        <w:rPr>
          <w:sz w:val="24"/>
          <w:szCs w:val="24"/>
        </w:rPr>
      </w:r>
    </w:p>
    <w:p>
      <w:pPr>
        <w:pStyle w:val="Normal"/>
        <w:rPr>
          <w:sz w:val="24"/>
          <w:szCs w:val="24"/>
        </w:rPr>
      </w:pPr>
      <w:r>
        <w:rPr>
          <w:sz w:val="24"/>
          <w:szCs w:val="24"/>
        </w:rPr>
      </w:r>
    </w:p>
    <w:p>
      <w:pPr>
        <w:pStyle w:val="Normal"/>
        <w:jc w:val="right"/>
        <w:rPr>
          <w:sz w:val="24"/>
          <w:szCs w:val="24"/>
        </w:rPr>
      </w:pPr>
      <w:r>
        <w:rPr>
          <w:sz w:val="24"/>
          <w:szCs w:val="24"/>
        </w:rPr>
        <w:t>Załącznik nr 2</w:t>
      </w:r>
    </w:p>
    <w:p>
      <w:pPr>
        <w:pStyle w:val="Normal"/>
        <w:jc w:val="right"/>
        <w:rPr>
          <w:sz w:val="24"/>
          <w:szCs w:val="24"/>
        </w:rPr>
      </w:pPr>
      <w:r>
        <w:rPr>
          <w:sz w:val="24"/>
          <w:szCs w:val="24"/>
        </w:rPr>
        <w:drawing>
          <wp:anchor behindDoc="0" distT="0" distB="0" distL="0" distR="0" simplePos="0" locked="0" layoutInCell="1" allowOverlap="1" relativeHeight="17">
            <wp:simplePos x="0" y="0"/>
            <wp:positionH relativeFrom="column">
              <wp:align>center</wp:align>
            </wp:positionH>
            <wp:positionV relativeFrom="paragraph">
              <wp:posOffset>635</wp:posOffset>
            </wp:positionV>
            <wp:extent cx="6119495" cy="8401685"/>
            <wp:effectExtent l="0" t="0" r="0" b="0"/>
            <wp:wrapSquare wrapText="largest"/>
            <wp:docPr id="2"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descr=""/>
                    <pic:cNvPicPr>
                      <a:picLocks noChangeAspect="1" noChangeArrowheads="1"/>
                    </pic:cNvPicPr>
                  </pic:nvPicPr>
                  <pic:blipFill>
                    <a:blip r:embed="rId3"/>
                    <a:stretch>
                      <a:fillRect/>
                    </a:stretch>
                  </pic:blipFill>
                  <pic:spPr bwMode="auto">
                    <a:xfrm>
                      <a:off x="0" y="0"/>
                      <a:ext cx="6119495" cy="8401685"/>
                    </a:xfrm>
                    <a:prstGeom prst="rect">
                      <a:avLst/>
                    </a:prstGeom>
                  </pic:spPr>
                </pic:pic>
              </a:graphicData>
            </a:graphic>
          </wp:anchor>
        </w:drawing>
      </w:r>
    </w:p>
    <w:p>
      <w:pPr>
        <w:pStyle w:val="Normal"/>
        <w:rPr/>
      </w:pPr>
      <w:r>
        <w:rPr/>
      </w:r>
    </w:p>
    <w:sectPr>
      <w:footerReference w:type="default" r:id="rId4"/>
      <w:type w:val="nextPage"/>
      <w:pgSz w:w="11906" w:h="16838"/>
      <w:pgMar w:left="1418" w:right="851" w:header="0" w:top="1134" w:footer="709" w:bottom="1135" w:gutter="0"/>
      <w:pgNumType w:fmt="decimal"/>
      <w:formProt w:val="false"/>
      <w:titlePg/>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Segoe UI">
    <w:altName w:val="Arial"/>
    <w:charset w:val="ee"/>
    <w:family w:val="roman"/>
    <w:pitch w:val="variable"/>
  </w:font>
  <w:font w:name="OpenSymbol">
    <w:altName w:val="Arial Unicode MS"/>
    <w:charset w:val="ee"/>
    <w:family w:val="roman"/>
    <w:pitch w:val="variable"/>
  </w:font>
  <w:font w:name="Liberation Sans">
    <w:altName w:val="Arial"/>
    <w:charset w:val="ee"/>
    <w:family w:val="swiss"/>
    <w:pitch w:val="variable"/>
  </w:font>
  <w:font w:name="Liberation Sans">
    <w:altName w:val="Arial"/>
    <w:charset w:val="ee"/>
    <w:family w:val="roman"/>
    <w:pitch w:val="variable"/>
  </w:font>
  <w:font w:name="HEKOFD+TimesNewRomanPSMT">
    <w:altName w:val="Times"/>
    <w:charset w:val="ee"/>
    <w:family w:val="roman"/>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mc:AlternateContent>
        <mc:Choice Requires="wps">
          <w:drawing>
            <wp:anchor behindDoc="1" distT="0" distB="0" distL="0" distR="0" simplePos="0" locked="0" layoutInCell="1" allowOverlap="1" relativeHeight="8" wp14:anchorId="6B0FC386">
              <wp:simplePos x="0" y="0"/>
              <wp:positionH relativeFrom="margin">
                <wp:align>center</wp:align>
              </wp:positionH>
              <wp:positionV relativeFrom="paragraph">
                <wp:posOffset>-72390</wp:posOffset>
              </wp:positionV>
              <wp:extent cx="291465" cy="266065"/>
              <wp:effectExtent l="0" t="0" r="0" b="0"/>
              <wp:wrapSquare wrapText="largest"/>
              <wp:docPr id="3" name="Ramka1"/>
              <a:graphic xmlns:a="http://schemas.openxmlformats.org/drawingml/2006/main">
                <a:graphicData uri="http://schemas.microsoft.com/office/word/2010/wordprocessingShape">
                  <wps:wsp>
                    <wps:cNvSpPr/>
                    <wps:spPr>
                      <a:xfrm>
                        <a:off x="0" y="0"/>
                        <a:ext cx="290880" cy="265320"/>
                      </a:xfrm>
                      <a:prstGeom prst="rect">
                        <a:avLst/>
                      </a:prstGeom>
                      <a:solidFill>
                        <a:srgbClr val="ffffff"/>
                      </a:solidFill>
                      <a:ln>
                        <a:noFill/>
                      </a:ln>
                    </wps:spPr>
                    <wps:style>
                      <a:lnRef idx="0"/>
                      <a:fillRef idx="0"/>
                      <a:effectRef idx="0"/>
                      <a:fontRef idx="minor"/>
                    </wps:style>
                    <wps:txbx>
                      <w:txbxContent>
                        <w:p>
                          <w:pPr>
                            <w:pStyle w:val="Stopka"/>
                            <w:rPr>
                              <w:color w:val="000000"/>
                            </w:rPr>
                          </w:pPr>
                          <w:r>
                            <w:rPr>
                              <w:color w:val="000000"/>
                            </w:rPr>
                            <w:fldChar w:fldCharType="begin"/>
                          </w:r>
                          <w:r>
                            <w:instrText> PAGE </w:instrText>
                          </w:r>
                          <w:r>
                            <w:fldChar w:fldCharType="separate"/>
                          </w:r>
                          <w:r>
                            <w:t>8</w:t>
                          </w:r>
                          <w:r>
                            <w:fldChar w:fldCharType="end"/>
                          </w:r>
                        </w:p>
                      </w:txbxContent>
                    </wps:txbx>
                    <wps:bodyPr lIns="720" rIns="720" tIns="720" bIns="720">
                      <a:noAutofit/>
                    </wps:bodyPr>
                  </wps:wsp>
                </a:graphicData>
              </a:graphic>
            </wp:anchor>
          </w:drawing>
        </mc:Choice>
        <mc:Fallback>
          <w:pict>
            <v:rect id="shape_0" ID="Ramka1" fillcolor="white" stroked="f" style="position:absolute;margin-left:229.45pt;margin-top:-5.7pt;width:22.85pt;height:20.85pt;mso-position-horizontal:center;mso-position-horizontal-relative:margin" wp14:anchorId="6B0FC386">
              <w10:wrap type="square"/>
              <v:fill o:detectmouseclick="t" type="solid" color2="black"/>
              <v:stroke color="#3465a4" joinstyle="round" endcap="flat"/>
              <v:textbox>
                <w:txbxContent>
                  <w:p>
                    <w:pPr>
                      <w:pStyle w:val="Stopka"/>
                      <w:rPr>
                        <w:color w:val="000000"/>
                      </w:rPr>
                    </w:pPr>
                    <w:r>
                      <w:rPr>
                        <w:color w:val="000000"/>
                      </w:rPr>
                      <w:fldChar w:fldCharType="begin"/>
                    </w:r>
                    <w:r>
                      <w:instrText> PAGE </w:instrText>
                    </w:r>
                    <w:r>
                      <w:fldChar w:fldCharType="separate"/>
                    </w:r>
                    <w:r>
                      <w:t>8</w:t>
                    </w:r>
                    <w:r>
                      <w:fldChar w:fldCharType="end"/>
                    </w:r>
                  </w:p>
                </w:txbxContent>
              </v:textbox>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none"/>
      <w:suff w:val="nothing"/>
      <w:lvlText w:val=""/>
      <w:lvlJc w:val="left"/>
      <w:pPr>
        <w:ind w:left="0" w:hanging="0"/>
      </w:pPr>
      <w:rPr>
        <w:sz w:val="24"/>
        <w:b/>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0" w:hanging="0"/>
      </w:pPr>
      <w:rPr>
        <w:sz w:val="24"/>
        <w:b/>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decimal"/>
      <w:lvlText w:val="%1."/>
      <w:lvlJc w:val="left"/>
      <w:pPr>
        <w:ind w:left="600" w:hanging="360"/>
      </w:pPr>
      <w:rPr>
        <w:sz w:val="24"/>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defaultTabStop w:val="708"/>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pl-PL"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Times New Roman" w:hAnsi="Times New Roman" w:eastAsia="Times New Roman" w:cs="Times New Roman"/>
      <w:color w:val="00000A"/>
      <w:sz w:val="20"/>
      <w:szCs w:val="20"/>
      <w:lang w:bidi="ar-SA" w:val="pl-PL" w:eastAsia="zh-CN"/>
    </w:rPr>
  </w:style>
  <w:style w:type="paragraph" w:styleId="Nagwek1">
    <w:name w:val="Heading 1"/>
    <w:basedOn w:val="Normal"/>
    <w:qFormat/>
    <w:pPr>
      <w:keepNext/>
      <w:numPr>
        <w:ilvl w:val="0"/>
        <w:numId w:val="1"/>
      </w:numPr>
      <w:outlineLvl w:val="0"/>
      <w:outlineLvl w:val="0"/>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b/>
      <w:sz w:val="24"/>
      <w:szCs w:val="24"/>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b/>
      <w:i w:val="false"/>
      <w:iCs w:val="false"/>
      <w:color w:val="000000"/>
      <w:sz w:val="24"/>
      <w:szCs w:val="24"/>
    </w:rPr>
  </w:style>
  <w:style w:type="character" w:styleId="WW8Num3z0" w:customStyle="1">
    <w:name w:val="WW8Num3z0"/>
    <w:qFormat/>
    <w:rPr>
      <w:rFonts w:eastAsia="Calibri"/>
      <w:b/>
      <w:sz w:val="16"/>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lang w:eastAsia="pl-PL"/>
    </w:rPr>
  </w:style>
  <w:style w:type="character" w:styleId="WW8Num5z0" w:customStyle="1">
    <w:name w:val="WW8Num5z0"/>
    <w:qFormat/>
    <w:rPr>
      <w:rFonts w:ascii="Liberation Serif;Times New Roma" w:hAnsi="Liberation Serif;Times New Roma" w:cs="Liberation Serif;Times New Roma"/>
      <w:b/>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6z0" w:customStyle="1">
    <w:name w:val="WW8Num6z0"/>
    <w:qFormat/>
    <w:rPr>
      <w:rFonts w:ascii="Symbol" w:hAnsi="Symbol" w:cs="Symbol"/>
    </w:rPr>
  </w:style>
  <w:style w:type="character" w:styleId="WW8Num7z0" w:customStyle="1">
    <w:name w:val="WW8Num7z0"/>
    <w:qFormat/>
    <w:rPr>
      <w:b/>
    </w:rPr>
  </w:style>
  <w:style w:type="character" w:styleId="WW8Num8z0" w:customStyle="1">
    <w:name w:val="WW8Num8z0"/>
    <w:qFormat/>
    <w:rPr>
      <w:lang w:eastAsia="pl-PL"/>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Domylnaczcionkaakapitu2" w:customStyle="1">
    <w:name w:val="Domyślna czcionka akapitu2"/>
    <w:qFormat/>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cs="Times New Roman"/>
    </w:rPr>
  </w:style>
  <w:style w:type="character" w:styleId="WW8Num11z1" w:customStyle="1">
    <w:name w:val="WW8Num11z1"/>
    <w:qFormat/>
    <w:rPr>
      <w:rFonts w:ascii="Symbol" w:hAnsi="Symbol" w:cs="Symbol"/>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rFonts w:cs="Times New Roman"/>
    </w:rPr>
  </w:style>
  <w:style w:type="character" w:styleId="WW8Num12z1" w:customStyle="1">
    <w:name w:val="WW8Num12z1"/>
    <w:qFormat/>
    <w:rPr/>
  </w:style>
  <w:style w:type="character" w:styleId="WW8Num12z2" w:customStyle="1">
    <w:name w:val="WW8Num12z2"/>
    <w:qFormat/>
    <w:rPr>
      <w:rFonts w:cs="Times New Roman"/>
    </w:rPr>
  </w:style>
  <w:style w:type="character" w:styleId="WW8Num13z0" w:customStyle="1">
    <w:name w:val="WW8Num13z0"/>
    <w:qFormat/>
    <w:rPr/>
  </w:style>
  <w:style w:type="character" w:styleId="WW8Num13z1" w:customStyle="1">
    <w:name w:val="WW8Num13z1"/>
    <w:qFormat/>
    <w:rPr/>
  </w:style>
  <w:style w:type="character" w:styleId="WW8Num13z2" w:customStyle="1">
    <w:name w:val="WW8Num13z2"/>
    <w:qFormat/>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rFonts w:ascii="Symbol" w:hAnsi="Symbol" w:cs="Symbol"/>
    </w:rPr>
  </w:style>
  <w:style w:type="character" w:styleId="WW8Num15z1" w:customStyle="1">
    <w:name w:val="WW8Num15z1"/>
    <w:qFormat/>
    <w:rPr>
      <w:rFonts w:ascii="Courier New" w:hAnsi="Courier New" w:cs="Courier New"/>
    </w:rPr>
  </w:style>
  <w:style w:type="character" w:styleId="WW8Num15z2" w:customStyle="1">
    <w:name w:val="WW8Num15z2"/>
    <w:qFormat/>
    <w:rPr>
      <w:rFonts w:ascii="Wingdings" w:hAnsi="Wingdings" w:cs="Wingdings"/>
    </w:rPr>
  </w:style>
  <w:style w:type="character" w:styleId="WW8Num16z0" w:customStyle="1">
    <w:name w:val="WW8Num16z0"/>
    <w:qFormat/>
    <w:rPr>
      <w:rFonts w:ascii="Symbol" w:hAnsi="Symbol" w:cs="Symbol"/>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7z0" w:customStyle="1">
    <w:name w:val="WW8Num17z0"/>
    <w:qFormat/>
    <w:rPr>
      <w:b w:val="false"/>
    </w:rPr>
  </w:style>
  <w:style w:type="character" w:styleId="WW8Num17z1" w:customStyle="1">
    <w:name w:val="WW8Num17z1"/>
    <w:qFormat/>
    <w:rPr/>
  </w:style>
  <w:style w:type="character" w:styleId="WW8Num17z2" w:customStyle="1">
    <w:name w:val="WW8Num17z2"/>
    <w:qFormat/>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b w:val="false"/>
      <w:color w:val="000000"/>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b w:val="false"/>
      <w:color w:val="000000"/>
      <w:sz w:val="24"/>
      <w:szCs w:val="24"/>
    </w:rPr>
  </w:style>
  <w:style w:type="character" w:styleId="WW8Num19z1" w:customStyle="1">
    <w:name w:val="WW8Num19z1"/>
    <w:qFormat/>
    <w:rPr/>
  </w:style>
  <w:style w:type="character" w:styleId="WW8Num19z2" w:customStyle="1">
    <w:name w:val="WW8Num19z2"/>
    <w:qFormat/>
    <w:rPr/>
  </w:style>
  <w:style w:type="character" w:styleId="WW8Num19z3" w:customStyle="1">
    <w:name w:val="WW8Num19z3"/>
    <w:qFormat/>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1" w:customStyle="1">
    <w:name w:val="WW8Num20z1"/>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rFonts w:ascii="Wingdings" w:hAnsi="Wingdings" w:cs="Wingdings"/>
    </w:rPr>
  </w:style>
  <w:style w:type="character" w:styleId="WW8Num21z1" w:customStyle="1">
    <w:name w:val="WW8Num21z1"/>
    <w:qFormat/>
    <w:rPr>
      <w:rFonts w:ascii="Courier New" w:hAnsi="Courier New" w:cs="Courier New"/>
    </w:rPr>
  </w:style>
  <w:style w:type="character" w:styleId="WW8Num21z3" w:customStyle="1">
    <w:name w:val="WW8Num21z3"/>
    <w:qFormat/>
    <w:rPr>
      <w:rFonts w:ascii="Symbol" w:hAnsi="Symbol" w:cs="Symbol"/>
    </w:rPr>
  </w:style>
  <w:style w:type="character" w:styleId="WW8Num22z0" w:customStyle="1">
    <w:name w:val="WW8Num22z0"/>
    <w:qFormat/>
    <w:rPr/>
  </w:style>
  <w:style w:type="character" w:styleId="WW8Num22z1" w:customStyle="1">
    <w:name w:val="WW8Num22z1"/>
    <w:qFormat/>
    <w:rPr/>
  </w:style>
  <w:style w:type="character" w:styleId="WW8Num22z2" w:customStyle="1">
    <w:name w:val="WW8Num22z2"/>
    <w:qFormat/>
    <w:rPr/>
  </w:style>
  <w:style w:type="character" w:styleId="WW8Num22z3" w:customStyle="1">
    <w:name w:val="WW8Num22z3"/>
    <w:qFormat/>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tyle>
  <w:style w:type="character" w:styleId="WW8Num23z1" w:customStyle="1">
    <w:name w:val="WW8Num23z1"/>
    <w:qFormat/>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tyle>
  <w:style w:type="character" w:styleId="WW8Num25z0" w:customStyle="1">
    <w:name w:val="WW8Num25z0"/>
    <w:qFormat/>
    <w:rPr/>
  </w:style>
  <w:style w:type="character" w:styleId="WW8Num25z1" w:customStyle="1">
    <w:name w:val="WW8Num25z1"/>
    <w:qFormat/>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tyle>
  <w:style w:type="character" w:styleId="WW8Num26z1" w:customStyle="1">
    <w:name w:val="WW8Num26z1"/>
    <w:qFormat/>
    <w:rPr/>
  </w:style>
  <w:style w:type="character" w:styleId="WW8Num26z2" w:customStyle="1">
    <w:name w:val="WW8Num26z2"/>
    <w:qFormat/>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Times New Roman"/>
    </w:rPr>
  </w:style>
  <w:style w:type="character" w:styleId="WW8Num27z1" w:customStyle="1">
    <w:name w:val="WW8Num27z1"/>
    <w:qFormat/>
    <w:rPr>
      <w:rFonts w:cs="Times New Roman"/>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b/>
    </w:rPr>
  </w:style>
  <w:style w:type="character" w:styleId="WW8Num29z1" w:customStyle="1">
    <w:name w:val="WW8Num29z1"/>
    <w:qFormat/>
    <w:rPr>
      <w:rFonts w:ascii="Symbol" w:hAnsi="Symbol" w:cs="Symbol"/>
      <w:b/>
      <w:color w:val="00000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b/>
    </w:rPr>
  </w:style>
  <w:style w:type="character" w:styleId="WW8Num30z1" w:customStyle="1">
    <w:name w:val="WW8Num30z1"/>
    <w:qFormat/>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tyle>
  <w:style w:type="character" w:styleId="WW8Num31z1" w:customStyle="1">
    <w:name w:val="WW8Num31z1"/>
    <w:qFormat/>
    <w:rPr/>
  </w:style>
  <w:style w:type="character" w:styleId="WW8Num31z2" w:customStyle="1">
    <w:name w:val="WW8Num31z2"/>
    <w:qFormat/>
    <w:rPr/>
  </w:style>
  <w:style w:type="character" w:styleId="WW8Num31z3" w:customStyle="1">
    <w:name w:val="WW8Num31z3"/>
    <w:qFormat/>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b/>
      <w:color w:val="00000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Domylnaczcionkaakapitu1" w:customStyle="1">
    <w:name w:val="Domyślna czcionka akapitu1"/>
    <w:qFormat/>
    <w:rPr/>
  </w:style>
  <w:style w:type="character" w:styleId="Mocnowyrniony" w:customStyle="1">
    <w:name w:val="Mocno wyróżniony"/>
    <w:qFormat/>
    <w:rPr>
      <w:b/>
      <w:bCs/>
    </w:rPr>
  </w:style>
  <w:style w:type="character" w:styleId="Wyrnienie" w:customStyle="1">
    <w:name w:val="Wyróżnienie"/>
    <w:qFormat/>
    <w:rPr>
      <w:i/>
      <w:iCs/>
    </w:rPr>
  </w:style>
  <w:style w:type="character" w:styleId="Numerstron" w:customStyle="1">
    <w:name w:val="Numer stron"/>
    <w:basedOn w:val="Domylnaczcionkaakapitu1"/>
    <w:rPr/>
  </w:style>
  <w:style w:type="character" w:styleId="ZnakZnak2" w:customStyle="1">
    <w:name w:val="Znak Znak2"/>
    <w:qFormat/>
    <w:rPr>
      <w:sz w:val="28"/>
    </w:rPr>
  </w:style>
  <w:style w:type="character" w:styleId="ZnakZnak1" w:customStyle="1">
    <w:name w:val="Znak Znak1"/>
    <w:qFormat/>
    <w:rPr>
      <w:sz w:val="16"/>
      <w:szCs w:val="16"/>
    </w:rPr>
  </w:style>
  <w:style w:type="character" w:styleId="ZnakZnak" w:customStyle="1">
    <w:name w:val="Znak Znak"/>
    <w:qFormat/>
    <w:rPr>
      <w:rFonts w:ascii="Segoe UI;Arial" w:hAnsi="Segoe UI;Arial" w:cs="Segoe UI;Arial"/>
      <w:sz w:val="18"/>
      <w:szCs w:val="18"/>
    </w:rPr>
  </w:style>
  <w:style w:type="character" w:styleId="Znakiprzypiswdolnych" w:customStyle="1">
    <w:name w:val="Znaki przypisów dolnych"/>
    <w:qFormat/>
    <w:rPr>
      <w:vertAlign w:val="superscript"/>
    </w:rPr>
  </w:style>
  <w:style w:type="character" w:styleId="Odwoaniedokomentarza1" w:customStyle="1">
    <w:name w:val="Odwołanie do komentarza1"/>
    <w:qFormat/>
    <w:rPr>
      <w:sz w:val="16"/>
      <w:szCs w:val="16"/>
    </w:rPr>
  </w:style>
  <w:style w:type="character" w:styleId="Znakiprzypiswkocowych" w:customStyle="1">
    <w:name w:val="Znaki przypisów końcowych"/>
    <w:qFormat/>
    <w:rPr>
      <w:vertAlign w:val="superscript"/>
    </w:rPr>
  </w:style>
  <w:style w:type="character" w:styleId="Czeinternetowe" w:customStyle="1">
    <w:name w:val="Łącze internetowe"/>
    <w:rPr>
      <w:color w:val="0000FF"/>
      <w:u w:val="single"/>
    </w:rPr>
  </w:style>
  <w:style w:type="character" w:styleId="WW8Num24z1" w:customStyle="1">
    <w:name w:val="WW8Num24z1"/>
    <w:qFormat/>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Znakiwypunktowania" w:customStyle="1">
    <w:name w:val="Znaki wypunktowania"/>
    <w:qFormat/>
    <w:rPr>
      <w:rFonts w:ascii="OpenSymbol;Arial Unicode MS" w:hAnsi="OpenSymbol;Arial Unicode MS" w:eastAsia="OpenSymbol;Arial Unicode MS" w:cs="OpenSymbol;Arial Unicode MS"/>
    </w:rPr>
  </w:style>
  <w:style w:type="character" w:styleId="ListLabel1" w:customStyle="1">
    <w:name w:val="ListLabel 1"/>
    <w:qFormat/>
    <w:rPr>
      <w:rFonts w:eastAsia="Calibri"/>
      <w:b/>
    </w:rPr>
  </w:style>
  <w:style w:type="character" w:styleId="ListLabel2" w:customStyle="1">
    <w:name w:val="ListLabel 2"/>
    <w:qFormat/>
    <w:rPr>
      <w:b/>
      <w:sz w:val="24"/>
      <w:szCs w:val="24"/>
    </w:rPr>
  </w:style>
  <w:style w:type="character" w:styleId="ListLabel3" w:customStyle="1">
    <w:name w:val="ListLabel 3"/>
    <w:qFormat/>
    <w:rPr>
      <w:b/>
      <w:i w:val="false"/>
      <w:iCs w:val="false"/>
      <w:color w:val="000000"/>
      <w:sz w:val="24"/>
      <w:szCs w:val="24"/>
    </w:rPr>
  </w:style>
  <w:style w:type="character" w:styleId="ListLabel4" w:customStyle="1">
    <w:name w:val="ListLabel 4"/>
    <w:qFormat/>
    <w:rPr>
      <w:b/>
      <w:sz w:val="24"/>
      <w:szCs w:val="24"/>
    </w:rPr>
  </w:style>
  <w:style w:type="character" w:styleId="ListLabel5" w:customStyle="1">
    <w:name w:val="ListLabel 5"/>
    <w:qFormat/>
    <w:rPr>
      <w:b/>
      <w:sz w:val="24"/>
      <w:szCs w:val="24"/>
    </w:rPr>
  </w:style>
  <w:style w:type="character" w:styleId="ListLabel6" w:customStyle="1">
    <w:name w:val="ListLabel 6"/>
    <w:qFormat/>
    <w:rPr>
      <w:b/>
      <w:i w:val="false"/>
      <w:iCs w:val="false"/>
      <w:color w:val="000000"/>
      <w:sz w:val="24"/>
      <w:szCs w:val="24"/>
    </w:rPr>
  </w:style>
  <w:style w:type="character" w:styleId="ListLabel7" w:customStyle="1">
    <w:name w:val="ListLabel 7"/>
    <w:qFormat/>
    <w:rPr>
      <w:b/>
      <w:sz w:val="24"/>
      <w:szCs w:val="24"/>
    </w:rPr>
  </w:style>
  <w:style w:type="character" w:styleId="ListLabel8" w:customStyle="1">
    <w:name w:val="ListLabel 8"/>
    <w:qFormat/>
    <w:rPr>
      <w:b/>
      <w:sz w:val="24"/>
      <w:szCs w:val="24"/>
    </w:rPr>
  </w:style>
  <w:style w:type="character" w:styleId="ListLabel9" w:customStyle="1">
    <w:name w:val="ListLabel 9"/>
    <w:qFormat/>
    <w:rPr>
      <w:b/>
      <w:i w:val="false"/>
      <w:iCs w:val="false"/>
      <w:color w:val="000000"/>
      <w:sz w:val="24"/>
      <w:szCs w:val="24"/>
    </w:rPr>
  </w:style>
  <w:style w:type="character" w:styleId="ListLabel10" w:customStyle="1">
    <w:name w:val="ListLabel 10"/>
    <w:qFormat/>
    <w:rPr>
      <w:b/>
      <w:sz w:val="24"/>
      <w:szCs w:val="24"/>
    </w:rPr>
  </w:style>
  <w:style w:type="character" w:styleId="ListLabel11" w:customStyle="1">
    <w:name w:val="ListLabel 11"/>
    <w:qFormat/>
    <w:rPr>
      <w:b/>
      <w:sz w:val="24"/>
      <w:szCs w:val="24"/>
    </w:rPr>
  </w:style>
  <w:style w:type="character" w:styleId="ListLabel12" w:customStyle="1">
    <w:name w:val="ListLabel 12"/>
    <w:qFormat/>
    <w:rPr>
      <w:b/>
      <w:i w:val="false"/>
      <w:iCs w:val="false"/>
      <w:color w:val="000000"/>
      <w:sz w:val="24"/>
      <w:szCs w:val="24"/>
    </w:rPr>
  </w:style>
  <w:style w:type="character" w:styleId="ListLabel13" w:customStyle="1">
    <w:name w:val="ListLabel 13"/>
    <w:qFormat/>
    <w:rPr>
      <w:b/>
      <w:sz w:val="24"/>
      <w:szCs w:val="24"/>
    </w:rPr>
  </w:style>
  <w:style w:type="character" w:styleId="ListLabel14" w:customStyle="1">
    <w:name w:val="ListLabel 14"/>
    <w:qFormat/>
    <w:rPr>
      <w:b/>
      <w:sz w:val="24"/>
      <w:szCs w:val="24"/>
    </w:rPr>
  </w:style>
  <w:style w:type="character" w:styleId="ListLabel15" w:customStyle="1">
    <w:name w:val="ListLabel 15"/>
    <w:qFormat/>
    <w:rPr>
      <w:b/>
      <w:i w:val="false"/>
      <w:iCs w:val="false"/>
      <w:color w:val="000000"/>
      <w:sz w:val="24"/>
      <w:szCs w:val="24"/>
    </w:rPr>
  </w:style>
  <w:style w:type="character" w:styleId="ListLabel16" w:customStyle="1">
    <w:name w:val="ListLabel 16"/>
    <w:qFormat/>
    <w:rPr>
      <w:rFonts w:ascii="Times New Roman" w:hAnsi="Times New Roman"/>
      <w:b/>
      <w:sz w:val="24"/>
      <w:szCs w:val="24"/>
    </w:rPr>
  </w:style>
  <w:style w:type="character" w:styleId="ListLabel17" w:customStyle="1">
    <w:name w:val="ListLabel 17"/>
    <w:qFormat/>
    <w:rPr>
      <w:b/>
      <w:sz w:val="24"/>
      <w:szCs w:val="24"/>
    </w:rPr>
  </w:style>
  <w:style w:type="character" w:styleId="ListLabel18" w:customStyle="1">
    <w:name w:val="ListLabel 18"/>
    <w:qFormat/>
    <w:rPr>
      <w:b/>
      <w:i w:val="false"/>
      <w:iCs w:val="false"/>
      <w:color w:val="000000"/>
      <w:sz w:val="24"/>
      <w:szCs w:val="24"/>
    </w:rPr>
  </w:style>
  <w:style w:type="character" w:styleId="ListLabel19" w:customStyle="1">
    <w:name w:val="ListLabel 19"/>
    <w:qFormat/>
    <w:rPr>
      <w:rFonts w:ascii="Times New Roman" w:hAnsi="Times New Roman" w:cs="Symbol"/>
      <w:sz w:val="24"/>
    </w:rPr>
  </w:style>
  <w:style w:type="character" w:styleId="ListLabel20" w:customStyle="1">
    <w:name w:val="ListLabel 20"/>
    <w:qFormat/>
    <w:rPr>
      <w:rFonts w:ascii="Times New Roman" w:hAnsi="Times New Roman" w:cs="Times New Roman"/>
      <w:sz w:val="24"/>
    </w:rPr>
  </w:style>
  <w:style w:type="character" w:styleId="ListLabel21" w:customStyle="1">
    <w:name w:val="ListLabel 21"/>
    <w:qFormat/>
    <w:rPr>
      <w:rFonts w:ascii="Times New Roman" w:hAnsi="Times New Roman" w:cs="Times New Roman"/>
      <w:sz w:val="24"/>
    </w:rPr>
  </w:style>
  <w:style w:type="character" w:styleId="ListLabel22" w:customStyle="1">
    <w:name w:val="ListLabel 22"/>
    <w:qFormat/>
    <w:rPr>
      <w:rFonts w:ascii="Times New Roman" w:hAnsi="Times New Roman" w:cs="Symbol"/>
      <w:sz w:val="24"/>
    </w:rPr>
  </w:style>
  <w:style w:type="character" w:styleId="ListLabel23">
    <w:name w:val="ListLabel 23"/>
    <w:qFormat/>
    <w:rPr>
      <w:b/>
      <w:sz w:val="24"/>
      <w:szCs w:val="24"/>
    </w:rPr>
  </w:style>
  <w:style w:type="character" w:styleId="ListLabel24">
    <w:name w:val="ListLabel 24"/>
    <w:qFormat/>
    <w:rPr>
      <w:b/>
      <w:sz w:val="24"/>
      <w:szCs w:val="24"/>
    </w:rPr>
  </w:style>
  <w:style w:type="character" w:styleId="ListLabel25">
    <w:name w:val="ListLabel 25"/>
    <w:qFormat/>
    <w:rPr>
      <w:b/>
      <w:sz w:val="24"/>
      <w:szCs w:val="24"/>
    </w:rPr>
  </w:style>
  <w:style w:type="character" w:styleId="ListLabel26">
    <w:name w:val="ListLabel 26"/>
    <w:qFormat/>
    <w:rPr>
      <w:b/>
      <w:i w:val="false"/>
      <w:iCs w:val="false"/>
      <w:color w:val="000000"/>
      <w:sz w:val="24"/>
      <w:szCs w:val="24"/>
    </w:rPr>
  </w:style>
  <w:style w:type="character" w:styleId="ListLabel27">
    <w:name w:val="ListLabel 27"/>
    <w:qFormat/>
    <w:rPr>
      <w:rFonts w:cs="Symbol"/>
      <w:sz w:val="24"/>
    </w:rPr>
  </w:style>
  <w:style w:type="character" w:styleId="ListLabel28">
    <w:name w:val="ListLabel 28"/>
    <w:qFormat/>
    <w:rPr>
      <w:rFonts w:cs="Times New Roman"/>
      <w:sz w:val="24"/>
    </w:rPr>
  </w:style>
  <w:style w:type="character" w:styleId="ListLabel29">
    <w:name w:val="ListLabel 29"/>
    <w:qFormat/>
    <w:rPr>
      <w:rFonts w:cs="Times New Roman"/>
      <w:sz w:val="24"/>
    </w:rPr>
  </w:style>
  <w:style w:type="character" w:styleId="ListLabel30">
    <w:name w:val="ListLabel 30"/>
    <w:qFormat/>
    <w:rPr>
      <w:rFonts w:cs="Symbol"/>
      <w:sz w:val="24"/>
    </w:rPr>
  </w:style>
  <w:style w:type="character" w:styleId="ListLabel31">
    <w:name w:val="ListLabel 31"/>
    <w:qFormat/>
    <w:rPr>
      <w:b/>
      <w:i w:val="false"/>
      <w:iCs w:val="false"/>
      <w:color w:val="000000"/>
      <w:sz w:val="28"/>
      <w:szCs w:val="28"/>
    </w:rPr>
  </w:style>
  <w:style w:type="character" w:styleId="ListLabel32">
    <w:name w:val="ListLabel 32"/>
    <w:qFormat/>
    <w:rPr>
      <w:color w:val="00000A"/>
    </w:rPr>
  </w:style>
  <w:style w:type="character" w:styleId="ListLabel33">
    <w:name w:val="ListLabel 33"/>
    <w:qFormat/>
    <w:rPr>
      <w:color w:val="00000A"/>
      <w:sz w:val="24"/>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rFonts w:cs="Mangal"/>
    </w:rPr>
  </w:style>
  <w:style w:type="paragraph" w:styleId="Gwka">
    <w:name w:val="Header"/>
    <w:basedOn w:val="Normal"/>
    <w:qFormat/>
    <w:pPr>
      <w:keepNext/>
      <w:spacing w:before="240" w:after="120"/>
    </w:pPr>
    <w:rPr>
      <w:rFonts w:ascii="Liberation Sans;Arial" w:hAnsi="Liberation Sans;Arial"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agwek2" w:customStyle="1">
    <w:name w:val="Nagłówek2"/>
    <w:basedOn w:val="Normal"/>
    <w:qFormat/>
    <w:pPr>
      <w:keepNext/>
      <w:spacing w:before="240" w:after="120"/>
    </w:pPr>
    <w:rPr>
      <w:rFonts w:ascii="Liberation Sans;Arial" w:hAnsi="Liberation Sans;Arial" w:eastAsia="Microsoft YaHei" w:cs="Arial"/>
      <w:sz w:val="28"/>
      <w:szCs w:val="28"/>
    </w:rPr>
  </w:style>
  <w:style w:type="paragraph" w:styleId="Nagwek11" w:customStyle="1">
    <w:name w:val="Nagłówek1"/>
    <w:basedOn w:val="Normal"/>
    <w:qFormat/>
    <w:pPr>
      <w:keepNext/>
      <w:spacing w:before="240" w:after="120"/>
    </w:pPr>
    <w:rPr>
      <w:rFonts w:ascii="Liberation Sans;Arial" w:hAnsi="Liberation Sans;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Wcicietrecitekstu">
    <w:name w:val="Body Text Indent"/>
    <w:basedOn w:val="Normal"/>
    <w:pPr>
      <w:ind w:left="708" w:hanging="0"/>
      <w:jc w:val="both"/>
    </w:pPr>
    <w:rPr>
      <w:sz w:val="28"/>
    </w:rPr>
  </w:style>
  <w:style w:type="paragraph" w:styleId="Tekstpodstawowy31" w:customStyle="1">
    <w:name w:val="Tekst podstawowy 31"/>
    <w:basedOn w:val="Normal"/>
    <w:qFormat/>
    <w:pPr/>
    <w:rPr>
      <w:b/>
      <w:i/>
      <w:sz w:val="28"/>
    </w:rPr>
  </w:style>
  <w:style w:type="paragraph" w:styleId="NormalWeb">
    <w:name w:val="Normal (Web)"/>
    <w:basedOn w:val="Normal"/>
    <w:qFormat/>
    <w:pPr>
      <w:spacing w:before="280" w:after="280"/>
    </w:pPr>
    <w:rPr>
      <w:sz w:val="24"/>
      <w:szCs w:val="24"/>
    </w:rPr>
  </w:style>
  <w:style w:type="paragraph" w:styleId="Tekstpodstawowywcity31" w:customStyle="1">
    <w:name w:val="Tekst podstawowy wcięty 31"/>
    <w:basedOn w:val="Normal"/>
    <w:qFormat/>
    <w:pPr>
      <w:spacing w:before="0" w:after="120"/>
      <w:ind w:left="283" w:hanging="0"/>
    </w:pPr>
    <w:rPr>
      <w:sz w:val="16"/>
      <w:szCs w:val="16"/>
    </w:rPr>
  </w:style>
  <w:style w:type="paragraph" w:styleId="Stopka">
    <w:name w:val="Footer"/>
    <w:basedOn w:val="Normal"/>
    <w:pPr>
      <w:tabs>
        <w:tab w:val="center" w:pos="4536" w:leader="none"/>
        <w:tab w:val="right" w:pos="9072" w:leader="none"/>
      </w:tabs>
    </w:pPr>
    <w:rPr/>
  </w:style>
  <w:style w:type="paragraph" w:styleId="BalloonText">
    <w:name w:val="Balloon Text"/>
    <w:basedOn w:val="Normal"/>
    <w:qFormat/>
    <w:pPr/>
    <w:rPr>
      <w:rFonts w:ascii="Segoe UI;Arial" w:hAnsi="Segoe UI;Arial" w:cs="Segoe UI;Arial"/>
      <w:sz w:val="18"/>
      <w:szCs w:val="18"/>
    </w:rPr>
  </w:style>
  <w:style w:type="paragraph" w:styleId="Domy" w:customStyle="1">
    <w:name w:val="Domy"/>
    <w:qFormat/>
    <w:pPr>
      <w:widowControl w:val="false"/>
      <w:suppressAutoHyphens w:val="true"/>
      <w:bidi w:val="0"/>
      <w:jc w:val="left"/>
    </w:pPr>
    <w:rPr>
      <w:rFonts w:ascii="Times New Roman" w:hAnsi="Times New Roman" w:eastAsia="Times New Roman" w:cs="Times New Roman"/>
      <w:color w:val="00000A"/>
      <w:sz w:val="20"/>
      <w:szCs w:val="20"/>
      <w:lang w:bidi="ar-SA" w:val="pl-PL" w:eastAsia="zh-CN"/>
    </w:rPr>
  </w:style>
  <w:style w:type="paragraph" w:styleId="Footnotetext">
    <w:name w:val="footnote text"/>
    <w:basedOn w:val="Normal"/>
    <w:qFormat/>
    <w:pPr/>
    <w:rPr/>
  </w:style>
  <w:style w:type="paragraph" w:styleId="Default" w:customStyle="1">
    <w:name w:val="Default"/>
    <w:qFormat/>
    <w:pPr>
      <w:widowControl/>
      <w:suppressAutoHyphens w:val="true"/>
      <w:bidi w:val="0"/>
      <w:jc w:val="left"/>
    </w:pPr>
    <w:rPr>
      <w:rFonts w:ascii="HEKOFD+TimesNewRomanPSMT;Times" w:hAnsi="HEKOFD+TimesNewRomanPSMT;Times" w:eastAsia="Times New Roman" w:cs="HEKOFD+TimesNewRomanPSMT;Times"/>
      <w:color w:val="000000"/>
      <w:sz w:val="20"/>
      <w:szCs w:val="24"/>
      <w:lang w:bidi="ar-SA" w:val="pl-PL" w:eastAsia="zh-CN"/>
    </w:rPr>
  </w:style>
  <w:style w:type="paragraph" w:styleId="Tekstkomentarza1" w:customStyle="1">
    <w:name w:val="Tekst komentarza1"/>
    <w:basedOn w:val="Normal"/>
    <w:qFormat/>
    <w:pPr/>
    <w:rPr/>
  </w:style>
  <w:style w:type="paragraph" w:styleId="Annotationsubject">
    <w:name w:val="annotation subject"/>
    <w:basedOn w:val="Tekstkomentarza1"/>
    <w:qFormat/>
    <w:pPr/>
    <w:rPr>
      <w:b/>
      <w:bCs/>
    </w:rPr>
  </w:style>
  <w:style w:type="paragraph" w:styleId="EndnoteSymbol" w:customStyle="1">
    <w:name w:val="Endnote Symbol"/>
    <w:basedOn w:val="Normal"/>
    <w:qFormat/>
    <w:pPr/>
    <w:rPr/>
  </w:style>
  <w:style w:type="paragraph" w:styleId="ListParagraph">
    <w:name w:val="List Paragraph"/>
    <w:basedOn w:val="Normal"/>
    <w:qFormat/>
    <w:pPr>
      <w:spacing w:before="0" w:after="0"/>
      <w:ind w:left="720" w:hanging="0"/>
      <w:contextualSpacing/>
    </w:pPr>
    <w:rPr/>
  </w:style>
  <w:style w:type="paragraph" w:styleId="Domynie" w:customStyle="1">
    <w:name w:val="Domy徑nie"/>
    <w:qFormat/>
    <w:pPr>
      <w:widowControl w:val="false"/>
      <w:suppressAutoHyphens w:val="true"/>
      <w:bidi w:val="0"/>
      <w:spacing w:lineRule="auto" w:line="276" w:before="0" w:after="200"/>
      <w:jc w:val="left"/>
    </w:pPr>
    <w:rPr>
      <w:rFonts w:ascii="Calibri" w:hAnsi="Calibri" w:eastAsia="Times New Roman" w:cs="Calibri"/>
      <w:color w:val="00000A"/>
      <w:sz w:val="22"/>
      <w:szCs w:val="22"/>
      <w:lang w:val="pl-PL" w:eastAsia="zh-CN" w:bidi="hi-IN"/>
    </w:rPr>
  </w:style>
  <w:style w:type="paragraph" w:styleId="Zawartoramki" w:customStyle="1">
    <w:name w:val="Zawartość ramki"/>
    <w:basedOn w:val="Normal"/>
    <w:qFormat/>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6" w:customStyle="1">
    <w:name w:val="WW8Num6"/>
    <w:qFormat/>
  </w:style>
  <w:style w:type="numbering" w:styleId="WW8Num11" w:customStyle="1">
    <w:name w:val="WW8Num11"/>
    <w:qFormat/>
  </w:style>
  <w:style w:type="numbering" w:styleId="WW8Num12" w:customStyle="1">
    <w:name w:val="WW8Num12"/>
    <w:qFormat/>
  </w:style>
  <w:style w:type="numbering" w:styleId="WW8Num14" w:customStyle="1">
    <w:name w:val="WW8Num14"/>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2074</TotalTime>
  <Application>LibreOffice/5.1.3.2$Windows_x86 LibreOffice_project/644e4637d1d8544fd9f56425bd6cec110e49301b</Application>
  <Pages>8</Pages>
  <Words>2694</Words>
  <Characters>15963</Characters>
  <CharactersWithSpaces>18751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2016-06-10T07:39:00Z</dcterms:created>
  <dc:creator>uglw</dc:creator>
  <dc:description/>
  <dc:language>pl-PL</dc:language>
  <cp:lastModifiedBy/>
  <cp:lastPrinted>2018-04-27T09:07:00Z</cp:lastPrinted>
  <dcterms:modified xsi:type="dcterms:W3CDTF">2018-05-25T12:57:30Z</dcterms:modified>
  <cp:revision>161</cp:revision>
  <dc:subject/>
  <dc:title>Protokół Nr IV/15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