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>Protokół Nr XXXVII/18</w:t>
      </w:r>
    </w:p>
    <w:p>
      <w:pPr>
        <w:pStyle w:val="Normal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z trzydziestej siódmej sesji Rady Gminy Lidzbark Warmiński, która odbyła się w dniu</w:t>
        <w:br/>
        <w:t>24 sierpnia 2018 r. w Gminnym  Ośrodku Kultury i Sportu w PILNIKU.</w:t>
      </w:r>
    </w:p>
    <w:p>
      <w:pPr>
        <w:pStyle w:val="Normal"/>
        <w:ind w:firstLine="708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Obrady rozpoczęto o godz. 12</w:t>
      </w:r>
      <w:r>
        <w:rPr>
          <w:sz w:val="24"/>
          <w:szCs w:val="24"/>
          <w:vertAlign w:val="superscript"/>
        </w:rPr>
        <w:t xml:space="preserve">05 </w:t>
      </w:r>
      <w:r>
        <w:rPr>
          <w:sz w:val="24"/>
          <w:szCs w:val="24"/>
        </w:rPr>
        <w:t>, a zakończono o godz. 12</w:t>
      </w:r>
      <w:r>
        <w:rPr>
          <w:sz w:val="24"/>
          <w:szCs w:val="24"/>
          <w:vertAlign w:val="superscript"/>
        </w:rPr>
        <w:t>55</w:t>
      </w:r>
    </w:p>
    <w:p>
      <w:pPr>
        <w:pStyle w:val="Nagwek1"/>
        <w:numPr>
          <w:ilvl w:val="0"/>
          <w:numId w:val="3"/>
        </w:numPr>
        <w:tabs>
          <w:tab w:val="left" w:pos="7291" w:leader="none"/>
        </w:tabs>
        <w:jc w:val="both"/>
        <w:rPr>
          <w:szCs w:val="24"/>
        </w:rPr>
      </w:pPr>
      <w:r>
        <w:rPr>
          <w:szCs w:val="24"/>
        </w:rPr>
        <w:tab/>
        <w:t xml:space="preserve">        </w:t>
      </w:r>
    </w:p>
    <w:p>
      <w:pPr>
        <w:pStyle w:val="Nagwek1"/>
        <w:numPr>
          <w:ilvl w:val="0"/>
          <w:numId w:val="3"/>
        </w:numPr>
        <w:jc w:val="both"/>
        <w:rPr/>
      </w:pPr>
      <w:r>
        <w:rPr>
          <w:szCs w:val="24"/>
        </w:rPr>
        <w:t>Stan Rady Gminy</w:t>
        <w:tab/>
        <w:t xml:space="preserve">  - </w:t>
      </w:r>
      <w:r>
        <w:rPr>
          <w:b/>
          <w:szCs w:val="24"/>
        </w:rPr>
        <w:t>15</w:t>
      </w:r>
      <w:r>
        <w:rPr>
          <w:szCs w:val="24"/>
        </w:rPr>
        <w:t xml:space="preserve"> radnych</w:t>
      </w:r>
    </w:p>
    <w:p>
      <w:pPr>
        <w:pStyle w:val="Nagwek1"/>
        <w:numPr>
          <w:ilvl w:val="0"/>
          <w:numId w:val="3"/>
        </w:numPr>
        <w:jc w:val="both"/>
        <w:rPr/>
      </w:pPr>
      <w:r>
        <w:rPr>
          <w:szCs w:val="24"/>
        </w:rPr>
        <w:t>Radnych obecnych</w:t>
        <w:tab/>
        <w:t xml:space="preserve">  - </w:t>
      </w:r>
      <w:r>
        <w:rPr>
          <w:b/>
          <w:szCs w:val="24"/>
        </w:rPr>
        <w:t>13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i/>
          <w:sz w:val="24"/>
          <w:szCs w:val="24"/>
        </w:rPr>
        <w:t>Na sesji nieobecny był radny Edward Grabowski i Krystyna Romanik.</w:t>
      </w:r>
    </w:p>
    <w:p>
      <w:pPr>
        <w:pStyle w:val="Normal"/>
        <w:jc w:val="both"/>
        <w:rPr>
          <w:sz w:val="24"/>
          <w:szCs w:val="24"/>
        </w:rPr>
      </w:pPr>
      <w:r>
        <w:rPr>
          <w:i/>
          <w:sz w:val="24"/>
          <w:szCs w:val="24"/>
        </w:rPr>
        <w:t>Lista obecności radnych stanowi załącznik nr 1 do niniejszego protokołu.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Podjęto 8 uchwał - od nr  271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nr 278</w:t>
      </w:r>
      <w:r>
        <w:rPr>
          <w:b/>
          <w:sz w:val="24"/>
          <w:szCs w:val="24"/>
        </w:rPr>
        <w:t>.</w:t>
      </w:r>
    </w:p>
    <w:p>
      <w:pPr>
        <w:pStyle w:val="Tekstpodstawowywcity31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Ponadto, w sesji uczestniczyli: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Wójt Gminy </w:t>
        <w:tab/>
        <w:tab/>
        <w:t>-  Fabian Andrukajtis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Z-ca Wójta Gminy</w:t>
        <w:tab/>
        <w:t>-  Tomasz Kołodziejczyk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Sekretarz Gminy         -  Ryszard Kielak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Skarbnik Gminy </w:t>
        <w:tab/>
        <w:t>-  Małgorzata Sobolewska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Sołtysi, zaproszeni goście, pracownicy Urzędu Gminy i mieszkańcy gminy wg listy obecności zał. Nr 2. 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Pkt 1. – Otwarcie i uchwalenie porządku obrad.</w:t>
      </w:r>
    </w:p>
    <w:p>
      <w:pPr>
        <w:pStyle w:val="Normal"/>
        <w:ind w:left="0" w:right="0" w:firstLine="708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Sesję otworzył Przewodniczący Rady Gminy Lidzbark Warmiński p. Jan Znamierowski.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Przywitał Wójta Gminy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wszystkich radnych, sołtysów oraz przybyłych na sesję gości.   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 xml:space="preserve">Stwierdził, że Rada Gminy liczy </w:t>
      </w:r>
      <w:r>
        <w:rPr>
          <w:b/>
          <w:sz w:val="24"/>
          <w:szCs w:val="24"/>
        </w:rPr>
        <w:t>15</w:t>
      </w:r>
      <w:r>
        <w:rPr>
          <w:sz w:val="24"/>
          <w:szCs w:val="24"/>
        </w:rPr>
        <w:t xml:space="preserve"> radnych, na sesji obecnych jest </w:t>
      </w:r>
      <w:r>
        <w:rPr>
          <w:b/>
          <w:sz w:val="24"/>
          <w:szCs w:val="24"/>
        </w:rPr>
        <w:t xml:space="preserve">11 </w:t>
      </w:r>
      <w:r>
        <w:rPr>
          <w:sz w:val="24"/>
          <w:szCs w:val="24"/>
        </w:rPr>
        <w:t xml:space="preserve">radnych w związku </w:t>
        <w:br/>
        <w:t>z tym, obrady są prawomocne.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Następnie Przewodniczący Rady Gminy przedstawił projekt porządku obrad, który został przesłany wszystkim radnym w zawiadomieniu o zwołaniu sesji: 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>Otwarcie i uchwalenie porządku obrad.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>Przyjęcie protokołu z poprzedniej sesji.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>Projekt uchwały w sprawie  wprowadzenia zmian w budżecie gminy na 2018 r.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 xml:space="preserve">Projekt uchwały w sprawie wprowadzenia zmian w Wieloletniej Prognozie Finansowej Gminy Lidzbark Warmiński na lata 2018-2035.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 xml:space="preserve">Projekt uchwały w sprawie udzielenia dotacji na sfinansowanie prac konserwatorskich, restauratorskich lub robót budowlanych </w:t>
      </w:r>
      <w:r>
        <w:rPr>
          <w:i/>
          <w:iCs/>
          <w:sz w:val="24"/>
          <w:szCs w:val="24"/>
        </w:rPr>
        <w:t>(Parafia św. Michała Archanioła w Blankach)</w:t>
      </w:r>
      <w:r>
        <w:rPr>
          <w:sz w:val="24"/>
          <w:szCs w:val="24"/>
        </w:rPr>
        <w:t xml:space="preserve">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 xml:space="preserve">Projekt uchwały  w sprawie wyrażenia opinii uznania lasów na terenie gminy Lidzbark Warmiński za ochronne.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 uchwały w sprawie ustalenia maksymalnej liczby zezwoleń na sprzedaż napojów alkoholowych oraz zasad usytuowania miejsc sprzedaży podawania napojów alkoholowych na terenie gminy Lidzbark Warmiński.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 uchwały w sprawie wprowadzenia odstępstwa od zakazu spożywania napojów alkoholowych w miejscach publicznych na terenie gminy Lidzbark Warmiński.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 uchwały zmieniającej uchwałę w sprawie uchwalenia statutu gminy.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 uchwały w sprawie nieodpłatnego przejęcia nieruchomości.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Informacja Wójta z bieżącej działalności gminy.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 xml:space="preserve">Interpelacje i wnioski. </w:t>
      </w:r>
    </w:p>
    <w:p>
      <w:pPr>
        <w:pStyle w:val="Normal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poinformował, że Wójt na wspólnym posiedzeniu Komisji w dniu 22 sierpnia 2018r., wniósł o wprowadzenie do porządku obrad następujących projektów uchwał, jako: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Pkt 9. Projekt uchwały zmieniającej uchwalę w sprawie uchwalenia statutu gminy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oraz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Pkt 10 Projekt uchwały w sprawie nieodpłatnego przejęcia nieruchomości 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tym kolejne punkty porządku obrad zmienią kolejność. Wniosek ten podczas posiedzenia wspólnego Komisji Rady Gminy został zaopiniowany pozytywnie.   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Wcicietrecitekstu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 xml:space="preserve">W wyniku głosowania, w którym wzięło udział 11 radnych, Rada Gminy jednogłośnie </w:t>
        <w:br/>
        <w:t xml:space="preserve">(11 głosów „ZA”, 0 głosów „PRZECIW”, nikt nie wstrzymał się od głosu) uchwaliła przedstawiony przez Przewodniczącego Rady Gminy porządek obrad wraz z poprawkami. </w:t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Pkt 2. - Przyjęcie protokołu z poprzedniej sesji.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Przewodniczący Rady Gminy poinformował, że protokół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trzydziestej szóstej sesji Rady Gminy  był dostępny do wglądu w Urzędzie Gminy i każdy miał możliwość zapoznania się z jego treścią, dlatego zaproponował przyjęcie go bez odczytywania.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wniosków w sprawie przyjęcia protokołu,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/>
      </w:pPr>
      <w:r>
        <w:rPr>
          <w:sz w:val="24"/>
          <w:szCs w:val="24"/>
        </w:rPr>
        <w:tab/>
        <w:t>W wyniku głosowania, w którym wzięło udział 11 radnych, Rada Gminy jednogłośnie</w:t>
        <w:br/>
        <w:t>(</w:t>
      </w:r>
      <w:bookmarkStart w:id="0" w:name="__DdeLink__1072_752558388"/>
      <w:r>
        <w:rPr>
          <w:sz w:val="24"/>
          <w:szCs w:val="24"/>
        </w:rPr>
        <w:t>11 głosów „ZA”, 0 głosów „PRZECIW”, nikt nie wstrzymał się od głosu</w:t>
      </w:r>
      <w:bookmarkEnd w:id="0"/>
      <w:r>
        <w:rPr>
          <w:sz w:val="24"/>
          <w:szCs w:val="24"/>
        </w:rPr>
        <w:t>) przyjęła protokół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z XXXVI sesji Rady Gminy z dnia  26 czerwca 2018 r.   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uto" w:line="360"/>
        <w:rPr/>
      </w:pPr>
      <w:r>
        <w:rPr>
          <w:b/>
          <w:sz w:val="24"/>
          <w:szCs w:val="24"/>
        </w:rPr>
        <w:t>Pkt  3. -  Projekt uchwały w sprawie  wprowadzenia zmian w budżecie  gminy na 2018 r.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Przewodniczący Rady Gminy poinformował, że projekt uchwały w sprawie zmian w budżecie na rok bieżący otrzymali wszyscy radni i został pozytywnie zaopiniowany przez Komisje Rady Gminy. 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ani wniosków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ind w:firstLine="709"/>
        <w:jc w:val="both"/>
        <w:rPr/>
      </w:pPr>
      <w:r>
        <w:rPr>
          <w:sz w:val="24"/>
          <w:szCs w:val="24"/>
        </w:rPr>
        <w:t>W wyniku głosowania, w którym wzięło udział 11 radnych, Rada Gminy jednogłośnie</w:t>
        <w:br/>
        <w:t>(11 głosów „ZA”, 0 głosów „PRZECIW”, nikt nie wstrzymał się od głosu) podjęła  uchwałę</w:t>
        <w:br/>
        <w:t xml:space="preserve">w sprawie  wprowadzenia zmian w budżecie  gminy na 2018 r. 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/>
      </w:pPr>
      <w:r>
        <w:rPr>
          <w:i/>
          <w:sz w:val="24"/>
          <w:szCs w:val="24"/>
        </w:rPr>
        <w:t>Uchwała Nr XXXVII/271/2018 RG. w ww. sprawie stanowi załącznik nr 3 do niniejszego protokołu.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900" w:hanging="900"/>
        <w:rPr/>
      </w:pPr>
      <w:r>
        <w:rPr>
          <w:b/>
          <w:sz w:val="24"/>
          <w:szCs w:val="24"/>
        </w:rPr>
        <w:t>Pkt 4. - Projekt uchwały w sprawie  uchwalenia zmian w Wieloletniej Prognozie Finansowej  Gminy Lidzbark Warmiński na lata 2018-2035.</w:t>
      </w:r>
    </w:p>
    <w:p>
      <w:pPr>
        <w:pStyle w:val="Wcicietrecitekstu"/>
        <w:tabs>
          <w:tab w:val="left" w:pos="709" w:leader="none"/>
        </w:tabs>
        <w:ind w:left="900" w:hanging="90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ab/>
        <w:t>Przewodniczący Rady Gm. poinformował, że projekt zmian w Wieloletniej Prognozie Finansowej na lata 2018-2035 otrzymali wszyscy radni i również został pozytywnie zaopiniowany przez Komisje Rady Gminy.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Przewodniczący Rady Gminy p. Leszek Maciejewski przedstawił projekt uchwały w tej sprawie.</w:t>
      </w:r>
    </w:p>
    <w:p>
      <w:pPr>
        <w:pStyle w:val="Tekstpodstawowywcity31"/>
        <w:spacing w:before="0" w:after="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ind w:firstLine="709"/>
        <w:jc w:val="both"/>
        <w:rPr/>
      </w:pPr>
      <w:r>
        <w:rPr>
          <w:sz w:val="24"/>
          <w:szCs w:val="24"/>
        </w:rPr>
        <w:t>W wyniku głosowania, w którym wzięło udział 11 radnych, Rada Gminy jednogłośnie</w:t>
        <w:br/>
        <w:t>(11 głosów „ZA”, 0 głosów „PRZECIW”, nikt nie wstrzymał się od głosu) podjęła  uchwałę</w:t>
        <w:br/>
        <w:t>w sprawie uchwalenia zmian w Wieloletniej Prognozie Finansowej  Gminy Lidzbark Warmiński na lata 2018-2035.</w:t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i/>
          <w:sz w:val="24"/>
          <w:szCs w:val="24"/>
        </w:rPr>
        <w:t>Uchwała Nr XXXVII/272/2018 RG. w ww. sprawie stanowi załącznik nr 4 do niniejszego protokołu.</w:t>
      </w:r>
    </w:p>
    <w:p>
      <w:pPr>
        <w:pStyle w:val="Normal"/>
        <w:ind w:left="993" w:hanging="993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W tym czasie 12</w:t>
      </w:r>
      <w:r>
        <w:rPr>
          <w:b w:val="false"/>
          <w:bCs w:val="false"/>
          <w:i/>
          <w:iCs/>
          <w:sz w:val="24"/>
          <w:szCs w:val="24"/>
          <w:vertAlign w:val="superscript"/>
        </w:rPr>
        <w:t>19</w:t>
      </w:r>
      <w:r>
        <w:rPr>
          <w:b w:val="false"/>
          <w:bCs w:val="false"/>
          <w:i/>
          <w:iCs/>
          <w:sz w:val="24"/>
          <w:szCs w:val="24"/>
        </w:rPr>
        <w:t xml:space="preserve"> są salę obrad przybył radny Marek Werbicki – </w:t>
      </w:r>
      <w:r>
        <w:rPr>
          <w:b/>
          <w:bCs/>
          <w:i/>
          <w:iCs/>
          <w:sz w:val="24"/>
          <w:szCs w:val="24"/>
        </w:rPr>
        <w:t>radnych obecnych 12</w:t>
      </w:r>
      <w:r>
        <w:rPr>
          <w:b w:val="false"/>
          <w:bCs w:val="false"/>
          <w:i/>
          <w:iCs/>
          <w:sz w:val="24"/>
          <w:szCs w:val="24"/>
        </w:rPr>
        <w:t>.</w:t>
      </w:r>
    </w:p>
    <w:p>
      <w:pPr>
        <w:pStyle w:val="Normal"/>
        <w:ind w:left="993" w:hanging="993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993" w:hanging="993"/>
        <w:jc w:val="both"/>
        <w:rPr/>
      </w:pPr>
      <w:r>
        <w:rPr>
          <w:b/>
          <w:sz w:val="24"/>
          <w:szCs w:val="24"/>
        </w:rPr>
        <w:t xml:space="preserve">Pkt 5. – Projekt uchwały w sprawie udzielenia dotacji na sfinansowanie prac konserwatorskich, restauratorskich lub robót budowlanych </w:t>
      </w:r>
      <w:r>
        <w:rPr>
          <w:b w:val="false"/>
          <w:bCs w:val="false"/>
          <w:i/>
          <w:iCs/>
          <w:sz w:val="24"/>
          <w:szCs w:val="24"/>
        </w:rPr>
        <w:t>(Parafia św. Michała Archanioła w Blankach)</w:t>
      </w:r>
      <w:r>
        <w:rPr>
          <w:b/>
          <w:color w:val="00000A"/>
          <w:sz w:val="24"/>
          <w:szCs w:val="24"/>
        </w:rPr>
        <w:t>.</w:t>
      </w:r>
    </w:p>
    <w:p>
      <w:pPr>
        <w:pStyle w:val="Normal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firstLine="720"/>
        <w:jc w:val="both"/>
        <w:rPr/>
      </w:pPr>
      <w:r>
        <w:rPr>
          <w:color w:val="00000A"/>
          <w:sz w:val="24"/>
          <w:szCs w:val="24"/>
        </w:rPr>
        <w:t xml:space="preserve">Przewodniczący Rady Gminy poinformował, że </w:t>
      </w:r>
      <w:r>
        <w:rPr>
          <w:bCs/>
          <w:color w:val="00000A"/>
          <w:sz w:val="24"/>
          <w:szCs w:val="24"/>
        </w:rPr>
        <w:t>zgodnie z art. 7 ust. 1 pkt 9 ustawy z dnia 8 marca 1990 r. o samorządzie gminnym, jednym z zadań własnych gminy jest ochrona zabytków</w:t>
        <w:br/>
        <w:t>i opieka nad zabytkami, które realizowane są poprzez współfinansowane w formie dotacji. W tym celu rokrocznie w budżecie Gminy zabezpieczane są środki finansowe na ten cel, na rok bieżący zaplanowano kwotę 30.00,00 zł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12 radnych, Rada Gminy jednogłośnie</w:t>
        <w:br/>
        <w:t>(12 głosów „ZA”, 0 głosów „PRZECIW”, nikt nie wstrzymał się od głosu) podjęła uchwałę</w:t>
        <w:br/>
        <w:t>w sprawie udzielenia dotacji na sfinansowanie prac konserwatorskich, restauratorskich lub robót budowlanych..</w:t>
      </w:r>
    </w:p>
    <w:p>
      <w:pPr>
        <w:pStyle w:val="Wcicietrecitekstu"/>
        <w:tabs>
          <w:tab w:val="left" w:pos="0" w:leader="none"/>
        </w:tabs>
        <w:ind w:left="0" w:right="0"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XXXVII/273/2018 RG. w ww. sprawie stanowi załącznik nr 5 do niniejszego protokołu.</w:t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b/>
          <w:i/>
          <w:sz w:val="24"/>
          <w:szCs w:val="24"/>
        </w:rPr>
        <w:t xml:space="preserve"> </w:t>
      </w:r>
    </w:p>
    <w:p>
      <w:pPr>
        <w:pStyle w:val="Normal"/>
        <w:ind w:left="993" w:hanging="993"/>
        <w:jc w:val="both"/>
        <w:rPr/>
      </w:pPr>
      <w:r>
        <w:rPr>
          <w:b/>
          <w:sz w:val="24"/>
          <w:szCs w:val="24"/>
        </w:rPr>
        <w:t>Pkt 6. – Projekt uchwały w sprawie wyrażenia opinii uznania lasów położonych na terenie gminy Lidzbark Warmiński za ochronne</w:t>
      </w:r>
      <w:r>
        <w:rPr>
          <w:b/>
          <w:color w:val="00000A"/>
          <w:sz w:val="24"/>
          <w:szCs w:val="24"/>
        </w:rPr>
        <w:t>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right="0" w:firstLine="709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Przewodniczący Rady Gminy – </w:t>
      </w:r>
      <w:r>
        <w:rPr>
          <w:rFonts w:eastAsia="Times New Roman" w:cs="Times New Roman"/>
          <w:b w:val="false"/>
          <w:bCs w:val="false"/>
          <w:i w:val="false"/>
          <w:iCs w:val="false"/>
          <w:sz w:val="24"/>
          <w:szCs w:val="24"/>
        </w:rPr>
        <w:t>zgodnie z ustawą o lasach, Minister właściwy do spraw środowiska, w drodze decyzji uznaje las za ochronny na wniosek Dyrektora Generalnego Lasów Państwowych, zaopiniowany przez Radę Gminy – w odniesieniu do stanowiących własność Skarbu Państwa. Rada Gminy powinna wyrazić opinię w ciągu dwóch miesięcy od dnia otrzymania wystąpienia o jej wyrażenie. W dniu 11 lipca br., Nadleśnictwo Wichrowo przekazało do zaopiniowania Radzie Gminy Lidzbark Warmiński wniosek o uznanie lasów za ochronne o łącznej powierzchni 1.386,10 hektarów uzasadniając, że są to lasy wodochronne, glebochronne, lasy uzdrowiskowe oraz lasy stanowiące cenne fragmenty rodzimej przyrody.</w:t>
      </w:r>
    </w:p>
    <w:p>
      <w:pPr>
        <w:pStyle w:val="Normal"/>
        <w:tabs>
          <w:tab w:val="left" w:pos="0" w:leader="none"/>
        </w:tabs>
        <w:ind w:hanging="0"/>
        <w:jc w:val="both"/>
        <w:rPr/>
      </w:pPr>
      <w:r>
        <w:rPr>
          <w:b w:val="false"/>
          <w:bCs/>
          <w:i w:val="false"/>
          <w:iCs w:val="false"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jc w:val="both"/>
        <w:rPr/>
      </w:pPr>
      <w:r>
        <w:rPr>
          <w:b w:val="false"/>
          <w:bCs/>
          <w:i w:val="false"/>
          <w:iCs w:val="false"/>
          <w:color w:val="00000A"/>
          <w:sz w:val="24"/>
          <w:szCs w:val="24"/>
        </w:rPr>
        <w:t>V-ce Przewodniczący Rady Gminy p. Leszek Maciejewski przedstawił projekt uchwały w tej sprawie.</w:t>
      </w:r>
    </w:p>
    <w:p>
      <w:pPr>
        <w:pStyle w:val="Normal"/>
        <w:tabs>
          <w:tab w:val="left" w:pos="0" w:leader="none"/>
        </w:tabs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W wyniku głosowania, w którym wzięło udział 12 radnych, Rada Gminy jednogłośnie</w:t>
        <w:br/>
        <w:t>(12 głosów „ZA”, 0 głosów „PRZECIW”, nikt nie wstrzymała się od głosu) podjęła uchwałę</w:t>
        <w:br/>
        <w:t>w sprawie wyrażenia opinii uznania lasów położonych na terenie gminy Lidzbark Warmiński za ochronne.</w:t>
      </w:r>
    </w:p>
    <w:p>
      <w:pPr>
        <w:pStyle w:val="Wcicietrecitekstu"/>
        <w:tabs>
          <w:tab w:val="left" w:pos="0" w:leader="none"/>
        </w:tabs>
        <w:ind w:left="0" w:right="0" w:hanging="0"/>
        <w:jc w:val="both"/>
        <w:rPr/>
      </w:pPr>
      <w:bookmarkStart w:id="1" w:name="__DdeLink__1025_1210754878"/>
      <w:r>
        <w:rPr>
          <w:b w:val="false"/>
          <w:bCs w:val="false"/>
          <w:i/>
          <w:iCs/>
          <w:sz w:val="24"/>
          <w:szCs w:val="24"/>
        </w:rPr>
        <w:t xml:space="preserve">Uchwała Nr XXXVII/274/2018 RG. w ww. sprawie stanowi załącznik nr </w:t>
      </w:r>
      <w:bookmarkEnd w:id="1"/>
      <w:r>
        <w:rPr>
          <w:b w:val="false"/>
          <w:bCs w:val="false"/>
          <w:i/>
          <w:iCs/>
          <w:sz w:val="24"/>
          <w:szCs w:val="24"/>
        </w:rPr>
        <w:t>6 do niniejszego protokołu.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i w:val="false"/>
          <w:iCs w:val="false"/>
          <w:sz w:val="24"/>
          <w:szCs w:val="24"/>
        </w:rPr>
        <w:t>Pkt 7. – Projekt uchwały w sprawie ustalenia maksymalnej liczby zezwoleń na sprzedaż napojów alkoholowych oraz zasad usytuowania miejsc sprzedaży i podawania napojów alkoholowych na terenie gminy Lidzbark Warmiński.</w:t>
      </w:r>
    </w:p>
    <w:p>
      <w:pPr>
        <w:pStyle w:val="Normal"/>
        <w:tabs>
          <w:tab w:val="left" w:pos="0" w:leader="none"/>
        </w:tabs>
        <w:ind w:left="993" w:hanging="993"/>
        <w:jc w:val="both"/>
        <w:rPr>
          <w:b/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before="0" w:after="0"/>
        <w:ind w:left="0" w:right="0" w:firstLine="709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Przewodniczący Rady Gminy poinformował, dnia 9 marca br., weszła w życie nowelizacja ustawy o wychowaniu w trzeźwości i przeciwdziałania alkoholizmowi oraz ustawa</w:t>
        <w:br/>
        <w:t>o bezpieczeństwie imprez masowych. W związku z tym Rada Gminy Lidzbark Warmiński zobowiązana jest podjąć w terminie sześciu miesięcy od dnia wejścia w życie ustawy, uchwały określającej maksymalną liczbę zezwoleń na sprzedaż napojów alkoholowych oraz określić zasady usytuowania na terenie gminy miejsc sprzedaży i podawania napojów alkoholowych. Zgodnie</w:t>
        <w:br/>
        <w:t>z ustawą – Rada Gminy przed podjęciem tych uchwał zobowiązana jest do zaciągnięcia opinii jednostek pomocniczych gminy (sołectw). Do dnia 31 lipca br., opinie odnośnie przedmiotowej uchwały wyraziło 39 sołectw z czego 38 pozytywnie oraz 1 negatywnie.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12 radnych, Rada Gminy jednogłośnie</w:t>
        <w:br/>
        <w:t>(12 głosów „ZA”, 0 głosów „PRZECIW”, nikt nie wstrzymał się od głosu) podjęła uchwałę</w:t>
        <w:br/>
        <w:t>w sprawie ustalenia maksymalnej liczby zezwoleń na sprzedaż napojów alkoholowych oraz zasad usytuowania miejsc sprzedaży i podawania napojów alkoholowych na terenie gminy Lidzbark Warmiński.</w:t>
      </w:r>
    </w:p>
    <w:p>
      <w:pPr>
        <w:pStyle w:val="Wcicietrecitekstu"/>
        <w:tabs>
          <w:tab w:val="left" w:pos="0" w:leader="none"/>
        </w:tabs>
        <w:spacing w:before="0" w:after="0"/>
        <w:ind w:left="0" w:right="0"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XXXVII/275/2018 RG. w ww. sprawie stanowi załącznik nr 7 do niniejszego protokołu.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i w:val="false"/>
          <w:iCs w:val="false"/>
          <w:sz w:val="24"/>
          <w:szCs w:val="24"/>
        </w:rPr>
        <w:t>Pkt 8. – Projekt uchwały w sprawie wprowadzenia odstępstwa od zakazu spożywania napojów alkoholowych w miejscach publicznych na terenie gminy Lidzbark Warmiński.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right="0" w:firstLine="709"/>
        <w:rPr/>
      </w:pPr>
      <w:r>
        <w:rPr>
          <w:b w:val="false"/>
          <w:bCs w:val="false"/>
          <w:sz w:val="24"/>
          <w:szCs w:val="24"/>
        </w:rPr>
        <w:t>Przewodniczący Rady Gminy poinformował, że wspomniana wcześniej nowelizacja ustawy</w:t>
        <w:br/>
        <w:t>o wychowaniu w trzeźwości i przeciwdziałaniu alkoholizmowi wprowadziła także szereg zmian dotyczących procedury wydawania zezwoleń na sprzedaż napojów alkoholowych i warunków ich sprzedaży. Ustawowo wprowadzono zakaz spożywania napojów alkoholowych w miejscach publicznych, jednak do kompetencji Rady Gminy należy ewentualne wprowadzenie odstępstw od tego zakazu. Wymienione w projekcie uchwały odstępstwa od zakazu uwzględniają między innymi organizowane festyny, dożynki i inne imprezy kulturalno-rozrywkowe organizowane na świeżym powietrzu, jak również organizowane w świetlicach wiejskich takie jak zabawy sylwestrowe, imprezy andrzejkowe, urodzinowe czy wesela.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Przewodniczący Rady Gminy p. Leszek Maciejewski przedstawił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12 radnych, Rada Gminy jednogłośnie</w:t>
        <w:br/>
        <w:t>(12 głosów „ZA”, 0 głosów „PRZECIW”, nikt nie wstrzymał się od głosu) podjęła uchwałę</w:t>
        <w:br/>
        <w:t>w sprawie ustalenia maksymalnej liczby zezwoleń na sprzedaż napojów alkoholowych oraz zasad usytuowania miejsc sprzedaży i podawania napojów alkoholowych na terenie gminy Lidzbark Warmiński.</w:t>
      </w:r>
    </w:p>
    <w:p>
      <w:pPr>
        <w:pStyle w:val="Wcicietrecitekstu"/>
        <w:tabs>
          <w:tab w:val="left" w:pos="0" w:leader="none"/>
        </w:tabs>
        <w:spacing w:before="0" w:after="0"/>
        <w:ind w:left="0" w:right="0"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XXXVII/276/2018 RG. w ww. sprawie stanowi załącznik nr 8</w:t>
      </w:r>
      <w:bookmarkStart w:id="2" w:name="__DdeLink__453_187238463"/>
      <w:bookmarkEnd w:id="2"/>
      <w:r>
        <w:rPr>
          <w:b w:val="false"/>
          <w:bCs w:val="false"/>
          <w:i/>
          <w:iCs/>
          <w:sz w:val="24"/>
          <w:szCs w:val="24"/>
        </w:rPr>
        <w:t xml:space="preserve"> do niniejszego protokołu.</w:t>
      </w:r>
    </w:p>
    <w:p>
      <w:pPr>
        <w:pStyle w:val="Normal"/>
        <w:tabs>
          <w:tab w:val="left" w:pos="0" w:leader="none"/>
        </w:tabs>
        <w:ind w:left="993" w:hanging="993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bCs w:val="false"/>
          <w:i w:val="false"/>
          <w:iCs w:val="false"/>
          <w:sz w:val="24"/>
          <w:szCs w:val="24"/>
        </w:rPr>
        <w:t>Pkt 9. – Projekt uchwały zmieniającej uchwałę w sprawie uchwalenia statutu gminy.</w:t>
      </w:r>
    </w:p>
    <w:p>
      <w:pPr>
        <w:pStyle w:val="Normal"/>
        <w:tabs>
          <w:tab w:val="left" w:pos="0" w:leader="none"/>
        </w:tabs>
        <w:ind w:left="993" w:hanging="993"/>
        <w:jc w:val="both"/>
        <w:rPr>
          <w:b/>
          <w:b/>
          <w:bCs w:val="false"/>
          <w:i w:val="false"/>
          <w:i w:val="false"/>
          <w:iCs w:val="false"/>
          <w:sz w:val="24"/>
          <w:szCs w:val="24"/>
        </w:rPr>
      </w:pPr>
      <w:r>
        <w:rPr>
          <w:b/>
          <w:bCs w:val="false"/>
          <w:i w:val="false"/>
          <w:iCs w:val="false"/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bidi w:val="0"/>
        <w:ind w:left="0" w:right="0" w:firstLine="709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Przewodniczący Rady Gminy – Wykonując zalecenia pokontrolne określone w wystąpieniu pokontrolnym Regionalnej Izby Obrachunkowej w Olsztynie z dnia 7 sierpnia br. -  zmieniono treść załącznika Nr 1 do Uchwały Rady Gminy Lidzbark Warmiński Nr III/10/2002 z dnia 17 grudnia 2002 r., w sprawie uchwalenia Statutu Gminy Lidzbark Warmiński, tak by zawierał wykaz nazw jednostek organizacyjnych Gminy po zmianach organizacyjnych w oświacie.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12 radnych, Rada Gminy jednogłośnie</w:t>
        <w:br/>
        <w:t>(12 głosów „ZA”, 0 głosów „PRZECIW”, nikt nie wstrzymał się od głosu) podjęła uchwałę</w:t>
        <w:br/>
        <w:t>zmieniającą uchwałę w sprawie uchwalenia statutu gminy.</w:t>
      </w:r>
    </w:p>
    <w:p>
      <w:pPr>
        <w:pStyle w:val="Wcicietrecitekstu"/>
        <w:widowControl/>
        <w:tabs>
          <w:tab w:val="left" w:pos="0" w:leader="none"/>
        </w:tabs>
        <w:suppressAutoHyphens w:val="true"/>
        <w:bidi w:val="0"/>
        <w:spacing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i/>
          <w:iCs/>
          <w:sz w:val="24"/>
          <w:szCs w:val="24"/>
        </w:rPr>
        <w:t>Uchwała Nr XXXVII/277/2018 RG. w ww. sprawie stanowi załącznik nr 9 do niniejszego protokołu.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W tym czasie 12</w:t>
      </w:r>
      <w:r>
        <w:rPr>
          <w:b w:val="false"/>
          <w:bCs w:val="false"/>
          <w:i/>
          <w:iCs/>
          <w:sz w:val="24"/>
          <w:szCs w:val="24"/>
          <w:vertAlign w:val="superscript"/>
        </w:rPr>
        <w:t>33</w:t>
      </w:r>
      <w:r>
        <w:rPr>
          <w:b w:val="false"/>
          <w:bCs w:val="false"/>
          <w:i/>
          <w:iCs/>
          <w:sz w:val="24"/>
          <w:szCs w:val="24"/>
        </w:rPr>
        <w:t xml:space="preserve"> są salę obrad przybył radny Ireneusz Gadomski – </w:t>
      </w:r>
      <w:r>
        <w:rPr>
          <w:b/>
          <w:bCs/>
          <w:i/>
          <w:iCs/>
          <w:sz w:val="24"/>
          <w:szCs w:val="24"/>
        </w:rPr>
        <w:t>radnych obecnych 13</w:t>
      </w:r>
      <w:r>
        <w:rPr>
          <w:b w:val="false"/>
          <w:bCs w:val="false"/>
          <w:i/>
          <w:iCs/>
          <w:sz w:val="24"/>
          <w:szCs w:val="24"/>
        </w:rPr>
        <w:t>.</w:t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bCs w:val="false"/>
          <w:i w:val="false"/>
          <w:iCs w:val="false"/>
          <w:sz w:val="24"/>
          <w:szCs w:val="24"/>
        </w:rPr>
        <w:t>Pkt 10. – Projekt uchwały w sprawie nieodpłatnego przejęcia nieruchomości.</w:t>
      </w:r>
    </w:p>
    <w:p>
      <w:pPr>
        <w:pStyle w:val="Normal"/>
        <w:tabs>
          <w:tab w:val="left" w:pos="0" w:leader="none"/>
        </w:tabs>
        <w:ind w:left="993" w:hanging="993"/>
        <w:jc w:val="both"/>
        <w:rPr>
          <w:b/>
          <w:b/>
          <w:bCs w:val="false"/>
          <w:i w:val="false"/>
          <w:i w:val="false"/>
          <w:iCs w:val="false"/>
          <w:sz w:val="24"/>
          <w:szCs w:val="24"/>
        </w:rPr>
      </w:pPr>
      <w:r>
        <w:rPr>
          <w:b/>
          <w:bCs w:val="false"/>
          <w:i w:val="false"/>
          <w:iCs w:val="false"/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bidi w:val="0"/>
        <w:ind w:left="0" w:right="0" w:firstLine="709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Przewodniczący Rady Gminy poinformował, że pismem z dnia 4 maja 2018 r., Zarząd Powiatu Lidzbarskiego zwrócił się do Wójta Gminy z propozycją przekazania gruntów stanowiących nieczynne szlaki kolejowe na rzecz Gminy Lidzbark Warmiński. Obecnie są to najczęściej drogi dojazdowe do okolicznych pól uprawnych.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Przewodniczący Rady Gminy p. Leszek Maciejewski przedstawił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b w:val="false"/>
          <w:bCs w:val="false"/>
          <w:sz w:val="24"/>
          <w:szCs w:val="24"/>
        </w:rPr>
        <w:t>W wyniku głosowania, w którym wzięło udział 13 radnych, Rada Gminy jednogłośnie</w:t>
        <w:br/>
        <w:t>(13 głosów „ZA”, 0 głosów „PRZECIW”, nikt nie wstrzymał się od głosu) podjęła uchwałę</w:t>
        <w:br/>
        <w:t>w sprawie nieodpłatnego przejęcia nieruchomości.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XXXVII/278/2018 RG. w ww. sprawie stanowi załącznik nr 10 do niniejszego protokołu.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b/>
          <w:sz w:val="24"/>
          <w:szCs w:val="24"/>
        </w:rPr>
        <w:t>Pkt 11. – Informacja Wójta z bieżącej działalności gminy.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Web"/>
        <w:spacing w:before="0" w:after="0"/>
        <w:ind w:firstLine="539"/>
        <w:jc w:val="both"/>
        <w:rPr/>
      </w:pPr>
      <w:r>
        <w:rPr/>
        <w:t>Na wstępie Wójt Gminy poinformował o przedstawieniu Radzie Gminy i Regionalnej Izbie Obrachunkowej sprawozdania z wykonania budżetu Gminy za I półrocze bieżącego roku. Dodał, że przygotowywane są odpowiedzi na zalecenia pokontrolne zawarte w wystąpieniu pokontrolnym Regionalnej Izby Obrachunkowej w Olsztynie, były to drobne uchybienia. Ponadto poinformował, że zakupiono nowy ciągnik marki New Holland wraz z przyczepą budowlaną Pronar, podziękował Radzie Gminy, za dokonanie zmian w budżecie umożliwiających zakup tego sprzętu. Od 1 sierpnia trwają prace przy przebudowie odcinka drogi gminnej Nr 11730N</w:t>
        <w:br/>
        <w:t xml:space="preserve">w Morawie, planowana data zakończenia robót to 30 listopada br. Uzyskany w trakcie prac gruz wykorzystywany jest do remontu innych dróg gminnych. </w:t>
      </w:r>
    </w:p>
    <w:p>
      <w:pPr>
        <w:pStyle w:val="NormalWeb"/>
        <w:spacing w:before="0" w:after="0"/>
        <w:ind w:firstLine="539"/>
        <w:jc w:val="both"/>
        <w:rPr/>
      </w:pPr>
      <w:r>
        <w:rPr/>
        <w:t>Poinformował, że w dniu dzisiejszym (24.08.2018 r.) mija termin składania wniosków</w:t>
        <w:br/>
        <w:t>o szacowanie strat spowodowanych przez suszę. Do tej pory do Urzędu Gminy wpłynęło 159 wniosków, łączny obszar wskazany we wnioskach przekracza 6.000 hektarów. Do Urzędu Gminy wpłynęło również 17 wniosków o szacowanie szkód wyrządzonych przez zwierzynę leśną,</w:t>
        <w:br/>
        <w:t>a w związku ze zmianą ustawy Prawo łowieckie od 23 sierpnia wnioski o szacowanie strat</w:t>
        <w:br/>
        <w:t>w uprawach i płodach rolnych spowodowane przez dziki, łosie, jelenie, daniele i sarny należy składać do dzierżawcy abo zarządcy koła łowieckiego. W związku z tym kończy się udział sołtysów w pracach komisji szacujących straty łowieckie.</w:t>
      </w:r>
    </w:p>
    <w:p>
      <w:pPr>
        <w:pStyle w:val="NormalWeb"/>
        <w:spacing w:before="0" w:after="0"/>
        <w:ind w:firstLine="539"/>
        <w:jc w:val="both"/>
        <w:rPr/>
      </w:pPr>
      <w:r>
        <w:rPr>
          <w:rFonts w:eastAsia="Calibri"/>
          <w:color w:val="00000A"/>
          <w:sz w:val="24"/>
          <w:szCs w:val="22"/>
          <w:lang w:eastAsia="ar-SA"/>
        </w:rPr>
        <w:t>Następnie Wójt poinformował, że w dniu wczorajszym (23.08.2018 r.) odbyły się rokowania na sprzedaż niezabudowanych działek gruntu w Markajmach, cena osiągnięta</w:t>
        <w:br/>
        <w:t>w rokowaniach wyniosła 170.000,00 zł + VAT. W dalszej kolejności powiadomił o wynikach sprzedaży innych nieruchomości tj.: niezbudowanej działki w Blankach za kwotę 202.000,00 zł + VAT, lokali mieszkalnych w Runowie, osiągnięta cena, niezabudowanej działki w miejscowości Marków za kwotę. Przekazał, że ogłoszono przetargi na sprzedaż nieruchomości: niezabudowanej działki  w Łaniewie, cena wywoławcza 200.000,00 zł oraz niezabudowanej działki w Łaniewie cena wywoławcza 30.000,00 zł. Zachęcił także wszystkich do udziału w przetargach.</w:t>
      </w:r>
    </w:p>
    <w:p>
      <w:pPr>
        <w:pStyle w:val="Normal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>W dalszej części swojego wystąpienia Wójt omówił sprawy bieżące. Większość prac wykończeniowych prowadzona jest w budynkach szkół, by przygotować je do nowego roku szkolnego. Przeprowadzono konkurs na stanowisko dyrektora Szkoły Podstawowej w Rogóżu, wygrała go dotychczasowa Dyrektor, Pani Brygida Małeć, której pogratulował i życzył dalszych sukcesów w pracy zawodowej. Pozyskano dofinansowanie z programu „Godność, wolność, niepodległość” w ramach którego w Szkole Podstawowej</w:t>
        <w:br/>
        <w:t>w Rógóżu prowadzone będą działania związane z 100 rocznicą odzyskania przez Polskę Niepodległości. Pozyskano także dofinansowania na: wykonanie centrum rekreacyjnego</w:t>
        <w:br/>
        <w:t>w miejscowości Ignalin w wysokości 100.000,00 zł; realizację projektu „Ja w internecie” w kwocie 89.600,00 zł, w ramach którego prowadzone będą kursy komputerowe w miejscowościach Kraszewo, Rogóż i Ignalin; zakup zestawu zabawowego w Nowej Wsi Wielkiej; na zakup monitorów interaktywnych do Szkoły Podstawowej w Rogóżu w ramach programu „Aktywna tablica”. Złożono wnioski na dofinansowanie: wykonanie placu zabaw w Morawie; zakup sprzętu nagłaśniającego dla Kapeli Ludowej „Furman”; projekt oznakowania miejscowości Stryjkowo; wymiany okien i zakup sprzętu kuchennego na świetlicę w Ignalinie. Ponadto Urząd Marszałkowski przeprowadził kontrolę realizacji 2 projektów tj.: „Wykonanie placu zabaw</w:t>
        <w:br/>
        <w:t>w miejscowości Stabunity i siłowni zewnętrznej w Medynach” oraz „Budowy sceny plenerowej</w:t>
        <w:br/>
        <w:t>w miejscowości Miłogórze”.</w:t>
      </w:r>
    </w:p>
    <w:p>
      <w:pPr>
        <w:pStyle w:val="Normal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>Na koniec swojego wystąpienia Wójt serdecznie zaprosił na Dożynki Gminne, które odbędą się 2 września w miejscowości Pilnik.</w:t>
      </w:r>
    </w:p>
    <w:p>
      <w:pPr>
        <w:pStyle w:val="Normal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>Następnie głos zabrał Zastępca Wójta, który udzielił informacji dotyczącej bezpańskich psów na terenie Gminy. Powiadomił, że Gmina współpracuje ze schroniskiem dla bezdomnych zwierząt prowadzonym przez Przedsiębiorstwem Gospodarki Komunalnej „Komunalnik”  Sp. z o.o</w:t>
        <w:br/>
        <w:t>z Kętrzyna na podstawie umowy. Dziennie utrzymanie jednego psa to koszt 9,30 zł miesięcznie jest to około 280-290 zł. Tylko w tym roku Gmina na utrzymanie psów w schroniskach wydała już 5.282,40 zł, a w roku 2017 była to kwota 10.511,85 zł.</w:t>
      </w:r>
    </w:p>
    <w:p>
      <w:pPr>
        <w:pStyle w:val="Normal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 xml:space="preserve">W dalszej części Sekretarz Gminy zwrócił się do obecnych podczas obrad sołtysów, z prośbą o wywieszanie obwieszczeń wyborczych na tablicach informacyjnych, przypomniał, że w każdej miejscowości znajduje się przynajmniej jedna taka tablica. Poprosił, o wywieszanie pierwszej kolejności ogłoszeń i obwieszczeń urzędowych. </w:t>
      </w:r>
    </w:p>
    <w:p>
      <w:pPr>
        <w:pStyle w:val="Normal"/>
        <w:ind w:hanging="0"/>
        <w:jc w:val="both"/>
        <w:rPr>
          <w:rFonts w:eastAsia="Calibri"/>
          <w:color w:val="00000A"/>
          <w:sz w:val="24"/>
          <w:szCs w:val="24"/>
          <w:lang w:eastAsia="en-US"/>
        </w:rPr>
      </w:pPr>
      <w:r>
        <w:rPr>
          <w:rFonts w:eastAsia="Calibri"/>
          <w:color w:val="00000A"/>
          <w:sz w:val="24"/>
          <w:szCs w:val="24"/>
          <w:lang w:eastAsia="en-US"/>
        </w:rPr>
      </w:r>
    </w:p>
    <w:p>
      <w:pPr>
        <w:pStyle w:val="Normal"/>
        <w:rPr/>
      </w:pPr>
      <w:r>
        <w:rPr>
          <w:b/>
          <w:sz w:val="24"/>
          <w:szCs w:val="24"/>
        </w:rPr>
        <w:t>Pkt 12. – Interpelacje i wnioski.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Przewodniczący Rady Gminy poinformował radnych o konieczności złożenia oświadczeń majątkowych, na 2 miesiące przed upływem kadencji tj. do 16 września br.</w:t>
      </w:r>
    </w:p>
    <w:p>
      <w:pPr>
        <w:pStyle w:val="Normal"/>
        <w:ind w:firstLine="709"/>
        <w:jc w:val="both"/>
        <w:rPr/>
      </w:pP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Nasyępnie głosu udzielono Pan Markowi Werbickiemu – </w:t>
      </w:r>
      <w:r>
        <w:rPr>
          <w:i/>
          <w:iCs/>
          <w:color w:val="00000A"/>
          <w:sz w:val="24"/>
          <w:szCs w:val="24"/>
        </w:rPr>
        <w:t xml:space="preserve">radnemu z Ignalina </w:t>
      </w:r>
      <w:r>
        <w:rPr>
          <w:color w:val="00000A"/>
          <w:sz w:val="24"/>
          <w:szCs w:val="24"/>
        </w:rPr>
        <w:t>- który serdecznie zaprosił na organizowany przez Stowarzyszenie Nasza Wieś – Ignalin na Festiwal Kultury Warmińskiej, który odbędzie się w sobotę 25 sierpnia w Gminnym Ośrodku Kultury</w:t>
        <w:br/>
        <w:t>i Sportu w Pilniku.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4"/>
          <w:szCs w:val="24"/>
        </w:rPr>
        <w:t>Nie zgłoszono żadnych wniosków.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W związku z wyczerpaniem  porządku  obrad,  Przewodniczący Rady Gminy Lidzbark Warmiński – Pan Jan Znamierowski zamknął trzydziesta siódmą sesję Rady Gminy Lidzbark Warmiński, dziękując wszystkim za udział w sesji.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Protokolant:</w:t>
      </w:r>
      <w:r>
        <w:rPr>
          <w:sz w:val="24"/>
          <w:szCs w:val="24"/>
        </w:rPr>
        <w:tab/>
        <w:tab/>
        <w:tab/>
        <w:tab/>
        <w:tab/>
        <w:tab/>
        <w:tab/>
        <w:t xml:space="preserve">  PRZEWODNICZĄCY</w:t>
      </w:r>
    </w:p>
    <w:p>
      <w:pPr>
        <w:pStyle w:val="Normal"/>
        <w:rPr/>
      </w:pPr>
      <w:r>
        <w:rPr/>
        <w:t>Radosław Krajewski</w:t>
      </w:r>
      <w:r>
        <w:rPr>
          <w:sz w:val="24"/>
          <w:szCs w:val="24"/>
        </w:rPr>
        <w:tab/>
        <w:tab/>
        <w:tab/>
        <w:tab/>
        <w:tab/>
        <w:tab/>
        <w:t xml:space="preserve">         Rady Gminy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</w:r>
      <w:r>
        <w:rPr>
          <w:b/>
          <w:sz w:val="24"/>
          <w:szCs w:val="24"/>
        </w:rPr>
        <w:t xml:space="preserve">    Jan Znamierowski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>
          <w:sz w:val="24"/>
          <w:szCs w:val="24"/>
        </w:rPr>
        <w:t>Załącznik nr 1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63854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sz w:val="24"/>
          <w:szCs w:val="24"/>
        </w:rPr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638540"/>
            <wp:effectExtent l="0" t="0" r="0" b="0"/>
            <wp:wrapSquare wrapText="largest"/>
            <wp:docPr id="2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sectPr>
      <w:footerReference w:type="default" r:id="rId4"/>
      <w:type w:val="nextPage"/>
      <w:pgSz w:w="11906" w:h="16838"/>
      <w:pgMar w:left="1418" w:right="851" w:header="0" w:top="1134" w:footer="709" w:bottom="1135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egoe UI">
    <w:altName w:val="Arial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KOFD+TimesNewRomanPSMT">
    <w:altName w:val="Times"/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8" wp14:anchorId="6B0FC386">
              <wp:simplePos x="0" y="0"/>
              <wp:positionH relativeFrom="margin">
                <wp:align>center</wp:align>
              </wp:positionH>
              <wp:positionV relativeFrom="paragraph">
                <wp:posOffset>-72390</wp:posOffset>
              </wp:positionV>
              <wp:extent cx="302260" cy="276860"/>
              <wp:effectExtent l="0" t="0" r="0" b="0"/>
              <wp:wrapSquare wrapText="largest"/>
              <wp:docPr id="3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680" cy="276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720" rIns="720" t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fillcolor="white" stroked="f" style="position:absolute;margin-left:229pt;margin-top:-5.7pt;width:23.7pt;height:21.7pt;mso-position-horizontal:center;mso-position-horizontal-relative:margin" wp14:anchorId="6B0FC386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>
        <w:sz w:val="24"/>
        <w:b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24"/>
        <w:b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/>
      <w:numPr>
        <w:ilvl w:val="0"/>
        <w:numId w:val="1"/>
      </w:numPr>
      <w:outlineLvl w:val="0"/>
      <w:outlineLvl w:val="0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/>
      <w:i w:val="false"/>
      <w:iCs w:val="false"/>
      <w:color w:val="000000"/>
      <w:sz w:val="24"/>
      <w:szCs w:val="24"/>
    </w:rPr>
  </w:style>
  <w:style w:type="character" w:styleId="WW8Num3z0" w:customStyle="1">
    <w:name w:val="WW8Num3z0"/>
    <w:qFormat/>
    <w:rPr>
      <w:rFonts w:eastAsia="Calibri"/>
      <w:b/>
      <w:sz w:val="16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lang w:eastAsia="pl-PL"/>
    </w:rPr>
  </w:style>
  <w:style w:type="character" w:styleId="WW8Num5z0" w:customStyle="1">
    <w:name w:val="WW8Num5z0"/>
    <w:qFormat/>
    <w:rPr>
      <w:rFonts w:ascii="Liberation Serif;Times New Roma" w:hAnsi="Liberation Serif;Times New Roma" w:cs="Liberation Serif;Times New Roma"/>
      <w:b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7z0" w:customStyle="1">
    <w:name w:val="WW8Num7z0"/>
    <w:qFormat/>
    <w:rPr>
      <w:b/>
    </w:rPr>
  </w:style>
  <w:style w:type="character" w:styleId="WW8Num8z0" w:customStyle="1">
    <w:name w:val="WW8Num8z0"/>
    <w:qFormat/>
    <w:rPr>
      <w:lang w:eastAsia="pl-P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Domylnaczcionkaakapitu2" w:customStyle="1">
    <w:name w:val="Domyślna czcionka akapitu2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cs="Times New Roman"/>
    </w:rPr>
  </w:style>
  <w:style w:type="character" w:styleId="WW8Num11z1" w:customStyle="1">
    <w:name w:val="WW8Num11z1"/>
    <w:qFormat/>
    <w:rPr>
      <w:rFonts w:ascii="Symbol" w:hAnsi="Symbol" w:cs="Symbol"/>
    </w:rPr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cs="Times New Roman"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>
      <w:rFonts w:cs="Times New Roman"/>
    </w:rPr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6z0" w:customStyle="1">
    <w:name w:val="WW8Num16z0"/>
    <w:qFormat/>
    <w:rPr>
      <w:rFonts w:ascii="Symbol" w:hAnsi="Symbol" w:cs="Symbol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7z0" w:customStyle="1">
    <w:name w:val="WW8Num17z0"/>
    <w:qFormat/>
    <w:rPr>
      <w:b w:val="false"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b w:val="false"/>
      <w:color w:val="000000"/>
    </w:rPr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b w:val="false"/>
      <w:color w:val="000000"/>
      <w:sz w:val="24"/>
      <w:szCs w:val="24"/>
    </w:rPr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>
      <w:rFonts w:ascii="Wingdings" w:hAnsi="Wingdings" w:cs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3" w:customStyle="1">
    <w:name w:val="WW8Num21z3"/>
    <w:qFormat/>
    <w:rPr>
      <w:rFonts w:ascii="Symbol" w:hAnsi="Symbol" w:cs="Symbol"/>
    </w:rPr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>
      <w:rFonts w:cs="Times New Roman"/>
    </w:rPr>
  </w:style>
  <w:style w:type="character" w:styleId="WW8Num27z1" w:customStyle="1">
    <w:name w:val="WW8Num27z1"/>
    <w:qFormat/>
    <w:rPr>
      <w:rFonts w:cs="Times New Roman"/>
    </w:rPr>
  </w:style>
  <w:style w:type="character" w:styleId="WW8Num28z0" w:customStyle="1">
    <w:name w:val="WW8Num28z0"/>
    <w:qFormat/>
    <w:rPr>
      <w:rFonts w:ascii="Wingdings" w:hAnsi="Wingdings" w:cs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WW8Num29z0" w:customStyle="1">
    <w:name w:val="WW8Num29z0"/>
    <w:qFormat/>
    <w:rPr>
      <w:b/>
    </w:rPr>
  </w:style>
  <w:style w:type="character" w:styleId="WW8Num29z1" w:customStyle="1">
    <w:name w:val="WW8Num29z1"/>
    <w:qFormat/>
    <w:rPr>
      <w:rFonts w:ascii="Symbol" w:hAnsi="Symbol" w:cs="Symbol"/>
      <w:b/>
      <w:color w:val="000000"/>
    </w:rPr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b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b/>
      <w:color w:val="000000"/>
    </w:rPr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Domylnaczcionkaakapitu1" w:customStyle="1">
    <w:name w:val="Domyślna czcionka akapitu1"/>
    <w:qFormat/>
    <w:rPr/>
  </w:style>
  <w:style w:type="character" w:styleId="Mocnowyrniony" w:customStyle="1">
    <w:name w:val="Mocno wyróżniony"/>
    <w:qFormat/>
    <w:rPr>
      <w:b/>
      <w:bCs/>
    </w:rPr>
  </w:style>
  <w:style w:type="character" w:styleId="Wyrnienie" w:customStyle="1">
    <w:name w:val="Wyróżnienie"/>
    <w:qFormat/>
    <w:rPr>
      <w:i/>
      <w:iCs/>
    </w:rPr>
  </w:style>
  <w:style w:type="character" w:styleId="Numerstron" w:customStyle="1">
    <w:name w:val="Numer stron"/>
    <w:basedOn w:val="Domylnaczcionkaakapitu1"/>
    <w:rPr/>
  </w:style>
  <w:style w:type="character" w:styleId="ZnakZnak2" w:customStyle="1">
    <w:name w:val="Znak Znak2"/>
    <w:qFormat/>
    <w:rPr>
      <w:sz w:val="28"/>
    </w:rPr>
  </w:style>
  <w:style w:type="character" w:styleId="ZnakZnak1" w:customStyle="1">
    <w:name w:val="Znak Znak1"/>
    <w:qFormat/>
    <w:rPr>
      <w:sz w:val="16"/>
      <w:szCs w:val="16"/>
    </w:rPr>
  </w:style>
  <w:style w:type="character" w:styleId="ZnakZnak" w:customStyle="1">
    <w:name w:val="Znak Znak"/>
    <w:qFormat/>
    <w:rPr>
      <w:rFonts w:ascii="Segoe UI;Arial" w:hAnsi="Segoe UI;Arial" w:cs="Segoe UI;Arial"/>
      <w:sz w:val="18"/>
      <w:szCs w:val="18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Czeinternetowe" w:customStyle="1">
    <w:name w:val="Łącze internetowe"/>
    <w:rPr>
      <w:color w:val="0000FF"/>
      <w:u w:val="single"/>
    </w:rPr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Znakiwypunktowania" w:customStyle="1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 w:customStyle="1">
    <w:name w:val="ListLabel 1"/>
    <w:qFormat/>
    <w:rPr>
      <w:rFonts w:eastAsia="Calibri"/>
      <w:b/>
    </w:rPr>
  </w:style>
  <w:style w:type="character" w:styleId="ListLabel2" w:customStyle="1">
    <w:name w:val="ListLabel 2"/>
    <w:qFormat/>
    <w:rPr>
      <w:b/>
      <w:sz w:val="24"/>
      <w:szCs w:val="24"/>
    </w:rPr>
  </w:style>
  <w:style w:type="character" w:styleId="ListLabel3" w:customStyle="1">
    <w:name w:val="ListLabel 3"/>
    <w:qFormat/>
    <w:rPr>
      <w:b/>
      <w:i w:val="false"/>
      <w:iCs w:val="false"/>
      <w:color w:val="000000"/>
      <w:sz w:val="24"/>
      <w:szCs w:val="24"/>
    </w:rPr>
  </w:style>
  <w:style w:type="character" w:styleId="ListLabel4" w:customStyle="1">
    <w:name w:val="ListLabel 4"/>
    <w:qFormat/>
    <w:rPr>
      <w:b/>
      <w:sz w:val="24"/>
      <w:szCs w:val="24"/>
    </w:rPr>
  </w:style>
  <w:style w:type="character" w:styleId="ListLabel5" w:customStyle="1">
    <w:name w:val="ListLabel 5"/>
    <w:qFormat/>
    <w:rPr>
      <w:b/>
      <w:sz w:val="24"/>
      <w:szCs w:val="24"/>
    </w:rPr>
  </w:style>
  <w:style w:type="character" w:styleId="ListLabel6" w:customStyle="1">
    <w:name w:val="ListLabel 6"/>
    <w:qFormat/>
    <w:rPr>
      <w:b/>
      <w:i w:val="false"/>
      <w:iCs w:val="false"/>
      <w:color w:val="000000"/>
      <w:sz w:val="24"/>
      <w:szCs w:val="24"/>
    </w:rPr>
  </w:style>
  <w:style w:type="character" w:styleId="ListLabel7" w:customStyle="1">
    <w:name w:val="ListLabel 7"/>
    <w:qFormat/>
    <w:rPr>
      <w:b/>
      <w:sz w:val="24"/>
      <w:szCs w:val="24"/>
    </w:rPr>
  </w:style>
  <w:style w:type="character" w:styleId="ListLabel8" w:customStyle="1">
    <w:name w:val="ListLabel 8"/>
    <w:qFormat/>
    <w:rPr>
      <w:b/>
      <w:sz w:val="24"/>
      <w:szCs w:val="24"/>
    </w:rPr>
  </w:style>
  <w:style w:type="character" w:styleId="ListLabel9" w:customStyle="1">
    <w:name w:val="ListLabel 9"/>
    <w:qFormat/>
    <w:rPr>
      <w:b/>
      <w:i w:val="false"/>
      <w:iCs w:val="false"/>
      <w:color w:val="000000"/>
      <w:sz w:val="24"/>
      <w:szCs w:val="24"/>
    </w:rPr>
  </w:style>
  <w:style w:type="character" w:styleId="ListLabel10" w:customStyle="1">
    <w:name w:val="ListLabel 10"/>
    <w:qFormat/>
    <w:rPr>
      <w:b/>
      <w:sz w:val="24"/>
      <w:szCs w:val="24"/>
    </w:rPr>
  </w:style>
  <w:style w:type="character" w:styleId="ListLabel11" w:customStyle="1">
    <w:name w:val="ListLabel 11"/>
    <w:qFormat/>
    <w:rPr>
      <w:b/>
      <w:sz w:val="24"/>
      <w:szCs w:val="24"/>
    </w:rPr>
  </w:style>
  <w:style w:type="character" w:styleId="ListLabel12" w:customStyle="1">
    <w:name w:val="ListLabel 12"/>
    <w:qFormat/>
    <w:rPr>
      <w:b/>
      <w:i w:val="false"/>
      <w:iCs w:val="false"/>
      <w:color w:val="000000"/>
      <w:sz w:val="24"/>
      <w:szCs w:val="24"/>
    </w:rPr>
  </w:style>
  <w:style w:type="character" w:styleId="ListLabel13" w:customStyle="1">
    <w:name w:val="ListLabel 13"/>
    <w:qFormat/>
    <w:rPr>
      <w:b/>
      <w:sz w:val="24"/>
      <w:szCs w:val="24"/>
    </w:rPr>
  </w:style>
  <w:style w:type="character" w:styleId="ListLabel14" w:customStyle="1">
    <w:name w:val="ListLabel 14"/>
    <w:qFormat/>
    <w:rPr>
      <w:b/>
      <w:sz w:val="24"/>
      <w:szCs w:val="24"/>
    </w:rPr>
  </w:style>
  <w:style w:type="character" w:styleId="ListLabel15" w:customStyle="1">
    <w:name w:val="ListLabel 15"/>
    <w:qFormat/>
    <w:rPr>
      <w:b/>
      <w:i w:val="false"/>
      <w:iCs w:val="false"/>
      <w:color w:val="000000"/>
      <w:sz w:val="24"/>
      <w:szCs w:val="24"/>
    </w:rPr>
  </w:style>
  <w:style w:type="character" w:styleId="ListLabel16" w:customStyle="1">
    <w:name w:val="ListLabel 16"/>
    <w:qFormat/>
    <w:rPr>
      <w:rFonts w:ascii="Times New Roman" w:hAnsi="Times New Roman"/>
      <w:b/>
      <w:sz w:val="24"/>
      <w:szCs w:val="24"/>
    </w:rPr>
  </w:style>
  <w:style w:type="character" w:styleId="ListLabel17" w:customStyle="1">
    <w:name w:val="ListLabel 17"/>
    <w:qFormat/>
    <w:rPr>
      <w:b/>
      <w:sz w:val="24"/>
      <w:szCs w:val="24"/>
    </w:rPr>
  </w:style>
  <w:style w:type="character" w:styleId="ListLabel18" w:customStyle="1">
    <w:name w:val="ListLabel 18"/>
    <w:qFormat/>
    <w:rPr>
      <w:b/>
      <w:i w:val="false"/>
      <w:iCs w:val="false"/>
      <w:color w:val="000000"/>
      <w:sz w:val="24"/>
      <w:szCs w:val="24"/>
    </w:rPr>
  </w:style>
  <w:style w:type="character" w:styleId="ListLabel19" w:customStyle="1">
    <w:name w:val="ListLabel 19"/>
    <w:qFormat/>
    <w:rPr>
      <w:rFonts w:ascii="Times New Roman" w:hAnsi="Times New Roman" w:cs="Symbol"/>
      <w:sz w:val="24"/>
    </w:rPr>
  </w:style>
  <w:style w:type="character" w:styleId="ListLabel20" w:customStyle="1">
    <w:name w:val="ListLabel 20"/>
    <w:qFormat/>
    <w:rPr>
      <w:rFonts w:ascii="Times New Roman" w:hAnsi="Times New Roman" w:cs="Times New Roman"/>
      <w:sz w:val="24"/>
    </w:rPr>
  </w:style>
  <w:style w:type="character" w:styleId="ListLabel21" w:customStyle="1">
    <w:name w:val="ListLabel 21"/>
    <w:qFormat/>
    <w:rPr>
      <w:rFonts w:ascii="Times New Roman" w:hAnsi="Times New Roman" w:cs="Times New Roman"/>
      <w:sz w:val="24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b/>
      <w:sz w:val="24"/>
      <w:szCs w:val="24"/>
    </w:rPr>
  </w:style>
  <w:style w:type="character" w:styleId="ListLabel24">
    <w:name w:val="ListLabel 24"/>
    <w:qFormat/>
    <w:rPr>
      <w:b/>
      <w:sz w:val="24"/>
      <w:szCs w:val="24"/>
    </w:rPr>
  </w:style>
  <w:style w:type="character" w:styleId="ListLabel25">
    <w:name w:val="ListLabel 25"/>
    <w:qFormat/>
    <w:rPr>
      <w:b/>
      <w:sz w:val="24"/>
      <w:szCs w:val="24"/>
    </w:rPr>
  </w:style>
  <w:style w:type="character" w:styleId="ListLabel26">
    <w:name w:val="ListLabel 26"/>
    <w:qFormat/>
    <w:rPr>
      <w:b/>
      <w:i w:val="false"/>
      <w:iCs w:val="false"/>
      <w:color w:val="000000"/>
      <w:sz w:val="24"/>
      <w:szCs w:val="24"/>
    </w:rPr>
  </w:style>
  <w:style w:type="character" w:styleId="ListLabel27">
    <w:name w:val="ListLabel 27"/>
    <w:qFormat/>
    <w:rPr>
      <w:rFonts w:cs="Symbol"/>
      <w:sz w:val="24"/>
    </w:rPr>
  </w:style>
  <w:style w:type="character" w:styleId="ListLabel28">
    <w:name w:val="ListLabel 28"/>
    <w:qFormat/>
    <w:rPr>
      <w:rFonts w:cs="Times New Roman"/>
      <w:sz w:val="24"/>
    </w:rPr>
  </w:style>
  <w:style w:type="character" w:styleId="ListLabel29">
    <w:name w:val="ListLabel 29"/>
    <w:qFormat/>
    <w:rPr>
      <w:rFonts w:cs="Times New Roman"/>
      <w:sz w:val="24"/>
    </w:rPr>
  </w:style>
  <w:style w:type="character" w:styleId="ListLabel30">
    <w:name w:val="ListLabel 30"/>
    <w:qFormat/>
    <w:rPr>
      <w:rFonts w:cs="Symbol"/>
      <w:sz w:val="24"/>
    </w:rPr>
  </w:style>
  <w:style w:type="character" w:styleId="ListLabel31">
    <w:name w:val="ListLabel 31"/>
    <w:qFormat/>
    <w:rPr>
      <w:b/>
      <w:i w:val="false"/>
      <w:iCs w:val="false"/>
      <w:color w:val="000000"/>
      <w:sz w:val="28"/>
      <w:szCs w:val="28"/>
    </w:rPr>
  </w:style>
  <w:style w:type="character" w:styleId="ListLabel32">
    <w:name w:val="ListLabel 32"/>
    <w:qFormat/>
    <w:rPr>
      <w:color w:val="00000A"/>
    </w:rPr>
  </w:style>
  <w:style w:type="character" w:styleId="ListLabel33">
    <w:name w:val="ListLabel 33"/>
    <w:qFormat/>
    <w:rPr>
      <w:color w:val="00000A"/>
      <w:sz w:val="24"/>
    </w:rPr>
  </w:style>
  <w:style w:type="character" w:styleId="ListLabel34">
    <w:name w:val="ListLabel 34"/>
    <w:qFormat/>
    <w:rPr>
      <w:b/>
      <w:sz w:val="24"/>
      <w:szCs w:val="24"/>
    </w:rPr>
  </w:style>
  <w:style w:type="character" w:styleId="ListLabel35">
    <w:name w:val="ListLabel 35"/>
    <w:qFormat/>
    <w:rPr>
      <w:b/>
      <w:sz w:val="24"/>
      <w:szCs w:val="24"/>
    </w:rPr>
  </w:style>
  <w:style w:type="character" w:styleId="ListLabel36">
    <w:name w:val="ListLabel 36"/>
    <w:qFormat/>
    <w:rPr>
      <w:color w:val="00000A"/>
      <w:sz w:val="24"/>
    </w:rPr>
  </w:style>
  <w:style w:type="character" w:styleId="ListLabel37">
    <w:name w:val="ListLabel 37"/>
    <w:qFormat/>
    <w:rPr>
      <w:b/>
      <w:sz w:val="24"/>
      <w:szCs w:val="24"/>
    </w:rPr>
  </w:style>
  <w:style w:type="character" w:styleId="ListLabel38">
    <w:name w:val="ListLabel 38"/>
    <w:qFormat/>
    <w:rPr>
      <w:b/>
      <w:sz w:val="24"/>
      <w:szCs w:val="24"/>
    </w:rPr>
  </w:style>
  <w:style w:type="character" w:styleId="ListLabel39">
    <w:name w:val="ListLabel 39"/>
    <w:qFormat/>
    <w:rPr>
      <w:color w:val="00000A"/>
      <w:sz w:val="24"/>
    </w:rPr>
  </w:style>
  <w:style w:type="character" w:styleId="ListLabel40">
    <w:name w:val="ListLabel 40"/>
    <w:qFormat/>
    <w:rPr>
      <w:b/>
      <w:sz w:val="24"/>
      <w:szCs w:val="24"/>
    </w:rPr>
  </w:style>
  <w:style w:type="character" w:styleId="ListLabel41">
    <w:name w:val="ListLabel 41"/>
    <w:qFormat/>
    <w:rPr>
      <w:b/>
      <w:sz w:val="24"/>
      <w:szCs w:val="24"/>
    </w:rPr>
  </w:style>
  <w:style w:type="character" w:styleId="ListLabel42">
    <w:name w:val="ListLabel 42"/>
    <w:qFormat/>
    <w:rPr>
      <w:b/>
      <w:sz w:val="24"/>
      <w:szCs w:val="24"/>
    </w:rPr>
  </w:style>
  <w:style w:type="character" w:styleId="ListLabel43">
    <w:name w:val="ListLabel 43"/>
    <w:qFormat/>
    <w:rPr>
      <w:b/>
      <w:sz w:val="24"/>
      <w:szCs w:val="24"/>
    </w:rPr>
  </w:style>
  <w:style w:type="character" w:styleId="ListLabel44">
    <w:name w:val="ListLabel 44"/>
    <w:qFormat/>
    <w:rPr>
      <w:b/>
      <w:sz w:val="24"/>
      <w:szCs w:val="24"/>
    </w:rPr>
  </w:style>
  <w:style w:type="character" w:styleId="ListLabel45">
    <w:name w:val="ListLabel 45"/>
    <w:qFormat/>
    <w:rPr>
      <w:b/>
      <w:sz w:val="24"/>
      <w:szCs w:val="24"/>
    </w:rPr>
  </w:style>
  <w:style w:type="character" w:styleId="ListLabel46">
    <w:name w:val="ListLabel 46"/>
    <w:qFormat/>
    <w:rPr>
      <w:b/>
      <w:sz w:val="24"/>
      <w:szCs w:val="24"/>
    </w:rPr>
  </w:style>
  <w:style w:type="character" w:styleId="ListLabel47">
    <w:name w:val="ListLabel 47"/>
    <w:qFormat/>
    <w:rPr>
      <w:b/>
      <w:sz w:val="24"/>
      <w:szCs w:val="24"/>
    </w:rPr>
  </w:style>
  <w:style w:type="character" w:styleId="ListLabel48">
    <w:name w:val="ListLabel 48"/>
    <w:qFormat/>
    <w:rPr>
      <w:b/>
      <w:sz w:val="24"/>
      <w:szCs w:val="24"/>
    </w:rPr>
  </w:style>
  <w:style w:type="character" w:styleId="ListLabel49">
    <w:name w:val="ListLabel 49"/>
    <w:qFormat/>
    <w:rPr>
      <w:b/>
      <w:sz w:val="24"/>
      <w:szCs w:val="24"/>
    </w:rPr>
  </w:style>
  <w:style w:type="character" w:styleId="ListLabel50">
    <w:name w:val="ListLabel 50"/>
    <w:qFormat/>
    <w:rPr>
      <w:b/>
      <w:sz w:val="24"/>
      <w:szCs w:val="24"/>
    </w:rPr>
  </w:style>
  <w:style w:type="character" w:styleId="ListLabel51">
    <w:name w:val="ListLabel 51"/>
    <w:qFormat/>
    <w:rPr>
      <w:b/>
      <w:sz w:val="24"/>
      <w:szCs w:val="24"/>
    </w:rPr>
  </w:style>
  <w:style w:type="character" w:styleId="ListLabel52">
    <w:name w:val="ListLabel 52"/>
    <w:qFormat/>
    <w:rPr>
      <w:b/>
      <w:sz w:val="24"/>
      <w:szCs w:val="24"/>
    </w:rPr>
  </w:style>
  <w:style w:type="character" w:styleId="ListLabel53">
    <w:name w:val="ListLabel 53"/>
    <w:qFormat/>
    <w:rPr>
      <w:b/>
      <w:sz w:val="24"/>
      <w:szCs w:val="24"/>
    </w:rPr>
  </w:style>
  <w:style w:type="character" w:styleId="Znakinumeracji">
    <w:name w:val="Znaki numeracji"/>
    <w:qFormat/>
    <w:rPr/>
  </w:style>
  <w:style w:type="character" w:styleId="ListLabel54">
    <w:name w:val="ListLabel 54"/>
    <w:qFormat/>
    <w:rPr>
      <w:b/>
      <w:sz w:val="24"/>
      <w:szCs w:val="24"/>
    </w:rPr>
  </w:style>
  <w:style w:type="character" w:styleId="ListLabel55">
    <w:name w:val="ListLabel 55"/>
    <w:qFormat/>
    <w:rPr>
      <w:b/>
      <w:sz w:val="24"/>
      <w:szCs w:val="24"/>
    </w:rPr>
  </w:style>
  <w:style w:type="character" w:styleId="ListLabel56">
    <w:name w:val="ListLabel 56"/>
    <w:qFormat/>
    <w:rPr>
      <w:b/>
      <w:sz w:val="24"/>
      <w:szCs w:val="24"/>
    </w:rPr>
  </w:style>
  <w:style w:type="character" w:styleId="ListLabel57">
    <w:name w:val="ListLabel 57"/>
    <w:qFormat/>
    <w:rPr>
      <w:b/>
      <w:sz w:val="24"/>
      <w:szCs w:val="24"/>
    </w:rPr>
  </w:style>
  <w:style w:type="character" w:styleId="ListLabel58">
    <w:name w:val="ListLabel 58"/>
    <w:qFormat/>
    <w:rPr>
      <w:b/>
      <w:sz w:val="24"/>
      <w:szCs w:val="24"/>
    </w:rPr>
  </w:style>
  <w:style w:type="character" w:styleId="ListLabel59">
    <w:name w:val="ListLabel 59"/>
    <w:qFormat/>
    <w:rPr>
      <w:b/>
      <w:sz w:val="24"/>
      <w:szCs w:val="24"/>
    </w:rPr>
  </w:style>
  <w:style w:type="character" w:styleId="ListLabel60">
    <w:name w:val="ListLabel 60"/>
    <w:qFormat/>
    <w:rPr>
      <w:b/>
      <w:sz w:val="24"/>
      <w:szCs w:val="24"/>
    </w:rPr>
  </w:style>
  <w:style w:type="character" w:styleId="ListLabel61">
    <w:name w:val="ListLabel 61"/>
    <w:qFormat/>
    <w:rPr>
      <w:b/>
      <w:sz w:val="24"/>
      <w:szCs w:val="24"/>
    </w:rPr>
  </w:style>
  <w:style w:type="character" w:styleId="ListLabel62">
    <w:name w:val="ListLabel 62"/>
    <w:qFormat/>
    <w:rPr>
      <w:b/>
      <w:sz w:val="24"/>
      <w:szCs w:val="24"/>
    </w:rPr>
  </w:style>
  <w:style w:type="character" w:styleId="ListLabel63">
    <w:name w:val="ListLabel 63"/>
    <w:qFormat/>
    <w:rPr>
      <w:b/>
      <w:sz w:val="24"/>
      <w:szCs w:val="24"/>
    </w:rPr>
  </w:style>
  <w:style w:type="character" w:styleId="ListLabel64">
    <w:name w:val="ListLabel 64"/>
    <w:qFormat/>
    <w:rPr>
      <w:b/>
      <w:sz w:val="24"/>
      <w:szCs w:val="24"/>
    </w:rPr>
  </w:style>
  <w:style w:type="character" w:styleId="ListLabel65">
    <w:name w:val="ListLabel 65"/>
    <w:qFormat/>
    <w:rPr>
      <w:b/>
      <w:sz w:val="24"/>
      <w:szCs w:val="24"/>
    </w:rPr>
  </w:style>
  <w:style w:type="character" w:styleId="ListLabel66">
    <w:name w:val="ListLabel 66"/>
    <w:qFormat/>
    <w:rPr>
      <w:b/>
      <w:sz w:val="24"/>
      <w:szCs w:val="24"/>
    </w:rPr>
  </w:style>
  <w:style w:type="character" w:styleId="ListLabel67">
    <w:name w:val="ListLabel 67"/>
    <w:qFormat/>
    <w:rPr>
      <w:b/>
      <w:sz w:val="24"/>
      <w:szCs w:val="24"/>
    </w:rPr>
  </w:style>
  <w:style w:type="character" w:styleId="ListLabel68">
    <w:name w:val="ListLabel 68"/>
    <w:qFormat/>
    <w:rPr>
      <w:b/>
      <w:sz w:val="24"/>
      <w:szCs w:val="24"/>
    </w:rPr>
  </w:style>
  <w:style w:type="character" w:styleId="ListLabel69">
    <w:name w:val="ListLabel 69"/>
    <w:qFormat/>
    <w:rPr>
      <w:b/>
      <w:sz w:val="24"/>
      <w:szCs w:val="24"/>
    </w:rPr>
  </w:style>
  <w:style w:type="character" w:styleId="ListLabel70">
    <w:name w:val="ListLabel 70"/>
    <w:qFormat/>
    <w:rPr>
      <w:b/>
      <w:sz w:val="24"/>
      <w:szCs w:val="24"/>
    </w:rPr>
  </w:style>
  <w:style w:type="character" w:styleId="ListLabel71">
    <w:name w:val="ListLabel 71"/>
    <w:qFormat/>
    <w:rPr>
      <w:b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2" w:customStyle="1">
    <w:name w:val="Nagłówek2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Nagwek11" w:customStyle="1">
    <w:name w:val="Nagłówek1"/>
    <w:basedOn w:val="Normal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cicietrecitekstu">
    <w:name w:val="Body Text Indent"/>
    <w:basedOn w:val="Normal"/>
    <w:pPr>
      <w:ind w:left="708" w:hanging="0"/>
      <w:jc w:val="both"/>
    </w:pPr>
    <w:rPr>
      <w:sz w:val="28"/>
    </w:rPr>
  </w:style>
  <w:style w:type="paragraph" w:styleId="Tekstpodstawowy31" w:customStyle="1">
    <w:name w:val="Tekst podstawowy 31"/>
    <w:basedOn w:val="Normal"/>
    <w:qFormat/>
    <w:pPr/>
    <w:rPr>
      <w:b/>
      <w:i/>
      <w:sz w:val="28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kstpodstawowywcity31" w:customStyle="1">
    <w:name w:val="Tekst podstawowy wcięty 31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rFonts w:ascii="Segoe UI;Arial" w:hAnsi="Segoe UI;Arial" w:cs="Segoe UI;Arial"/>
      <w:sz w:val="18"/>
      <w:szCs w:val="18"/>
    </w:rPr>
  </w:style>
  <w:style w:type="paragraph" w:styleId="Domy" w:customStyle="1">
    <w:name w:val="Domy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pl-PL" w:eastAsia="zh-CN" w:bidi="ar-SA"/>
    </w:rPr>
  </w:style>
  <w:style w:type="paragraph" w:styleId="Footnotetext">
    <w:name w:val="footnote text"/>
    <w:basedOn w:val="Normal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jc w:val="left"/>
    </w:pPr>
    <w:rPr>
      <w:rFonts w:ascii="HEKOFD+TimesNewRomanPSMT;Times" w:hAnsi="HEKOFD+TimesNewRomanPSMT;Times" w:eastAsia="Times New Roman" w:cs="HEKOFD+TimesNewRomanPSMT;Times"/>
      <w:color w:val="000000"/>
      <w:sz w:val="20"/>
      <w:szCs w:val="24"/>
      <w:lang w:val="pl-PL" w:eastAsia="zh-CN" w:bidi="ar-SA"/>
    </w:rPr>
  </w:style>
  <w:style w:type="paragraph" w:styleId="Tekstkomentarza1" w:customStyle="1">
    <w:name w:val="Tekst komentarza1"/>
    <w:basedOn w:val="Normal"/>
    <w:qFormat/>
    <w:pPr/>
    <w:rPr/>
  </w:style>
  <w:style w:type="paragraph" w:styleId="Annotationsubject">
    <w:name w:val="annotation subject"/>
    <w:basedOn w:val="Tekstkomentarza1"/>
    <w:qFormat/>
    <w:pPr/>
    <w:rPr>
      <w:b/>
      <w:bCs/>
    </w:rPr>
  </w:style>
  <w:style w:type="paragraph" w:styleId="EndnoteSymbol" w:customStyle="1">
    <w:name w:val="Endnote Symbol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sz w:val="24"/>
    </w:rPr>
  </w:style>
  <w:style w:type="paragraph" w:styleId="Domynie" w:customStyle="1">
    <w:name w:val="Domy徑nie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sz w:val="22"/>
      <w:szCs w:val="22"/>
      <w:lang w:val="pl-PL" w:eastAsia="zh-CN" w:bidi="hi-IN"/>
    </w:rPr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4" w:customStyle="1">
    <w:name w:val="WW8Num14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Application>LibreOffice/5.1.3.2$Windows_x86 LibreOffice_project/644e4637d1d8544fd9f56425bd6cec110e49301b</Application>
  <Pages>8</Pages>
  <Words>2668</Words>
  <Characters>16250</Characters>
  <CharactersWithSpaces>18929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2016-06-10T07:39:00Z</dcterms:created>
  <dc:creator>uglw</dc:creator>
  <dc:description/>
  <dc:language>pl-PL</dc:language>
  <cp:lastModifiedBy/>
  <cp:lastPrinted>2018-10-17T11:43:47Z</cp:lastPrinted>
  <dcterms:modified xsi:type="dcterms:W3CDTF">2018-10-25T09:28:10Z</dcterms:modified>
  <cp:revision>215</cp:revision>
  <dc:subject/>
  <dc:title>Protokół Nr IV/15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