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>Protokół Nr XXXIX/18</w:t>
      </w:r>
    </w:p>
    <w:p>
      <w:pPr>
        <w:pStyle w:val="Normal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z trzydziestej dziewiątej sesji Rady Gminy Lidzbark Warmiński, która odbyła się w dniu</w:t>
        <w:br/>
        <w:t>9 listopada 2018 r. w Gminnym  Ośrodku Kultury i Sportu w PILNIKU.</w:t>
      </w:r>
    </w:p>
    <w:p>
      <w:pPr>
        <w:pStyle w:val="Normal"/>
        <w:ind w:firstLine="708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Obrady rozpoczęto o godz. 12</w:t>
      </w:r>
      <w:r>
        <w:rPr>
          <w:sz w:val="24"/>
          <w:szCs w:val="24"/>
          <w:vertAlign w:val="superscript"/>
        </w:rPr>
        <w:t xml:space="preserve">03 </w:t>
      </w:r>
      <w:r>
        <w:rPr>
          <w:sz w:val="24"/>
          <w:szCs w:val="24"/>
        </w:rPr>
        <w:t>, a zakończono o godz. 13</w:t>
      </w:r>
      <w:r>
        <w:rPr>
          <w:sz w:val="24"/>
          <w:szCs w:val="24"/>
          <w:vertAlign w:val="superscript"/>
        </w:rPr>
        <w:t>20</w:t>
      </w:r>
    </w:p>
    <w:p>
      <w:pPr>
        <w:pStyle w:val="Nagwek1"/>
        <w:numPr>
          <w:ilvl w:val="0"/>
          <w:numId w:val="3"/>
        </w:numPr>
        <w:tabs>
          <w:tab w:val="left" w:pos="7291" w:leader="none"/>
        </w:tabs>
        <w:jc w:val="both"/>
        <w:rPr>
          <w:szCs w:val="24"/>
        </w:rPr>
      </w:pPr>
      <w:r>
        <w:rPr>
          <w:szCs w:val="24"/>
        </w:rPr>
        <w:tab/>
        <w:t xml:space="preserve">        </w:t>
      </w:r>
    </w:p>
    <w:p>
      <w:pPr>
        <w:pStyle w:val="Nagwek1"/>
        <w:numPr>
          <w:ilvl w:val="0"/>
          <w:numId w:val="3"/>
        </w:numPr>
        <w:jc w:val="both"/>
        <w:rPr/>
      </w:pPr>
      <w:r>
        <w:rPr>
          <w:szCs w:val="24"/>
        </w:rPr>
        <w:t>Stan Rady Gminy</w:t>
        <w:tab/>
        <w:t xml:space="preserve">  - </w:t>
      </w:r>
      <w:r>
        <w:rPr>
          <w:b/>
          <w:szCs w:val="24"/>
        </w:rPr>
        <w:t>15</w:t>
      </w:r>
      <w:r>
        <w:rPr>
          <w:szCs w:val="24"/>
        </w:rPr>
        <w:t xml:space="preserve"> radnych</w:t>
      </w:r>
    </w:p>
    <w:p>
      <w:pPr>
        <w:pStyle w:val="Nagwek1"/>
        <w:numPr>
          <w:ilvl w:val="0"/>
          <w:numId w:val="3"/>
        </w:numPr>
        <w:jc w:val="both"/>
        <w:rPr/>
      </w:pPr>
      <w:r>
        <w:rPr>
          <w:szCs w:val="24"/>
        </w:rPr>
        <w:t>Radnych obecnych</w:t>
        <w:tab/>
        <w:t xml:space="preserve">  - </w:t>
      </w:r>
      <w:r>
        <w:rPr>
          <w:b/>
          <w:szCs w:val="24"/>
        </w:rPr>
        <w:t>15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i/>
          <w:sz w:val="24"/>
          <w:szCs w:val="24"/>
        </w:rPr>
        <w:t>Na sesji obecni byli wszyscy radni.</w:t>
      </w:r>
    </w:p>
    <w:p>
      <w:pPr>
        <w:pStyle w:val="Normal"/>
        <w:jc w:val="both"/>
        <w:rPr>
          <w:sz w:val="24"/>
          <w:szCs w:val="24"/>
        </w:rPr>
      </w:pPr>
      <w:r>
        <w:rPr>
          <w:i/>
          <w:sz w:val="24"/>
          <w:szCs w:val="24"/>
        </w:rPr>
        <w:t>Lista obecności radnych stanowi załącznik nr 1 do niniejszego protokołu.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Podjęto 5 uchwał - od nr 286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 nr 290</w:t>
      </w:r>
      <w:r>
        <w:rPr>
          <w:b/>
          <w:sz w:val="24"/>
          <w:szCs w:val="24"/>
        </w:rPr>
        <w:t>.</w:t>
      </w:r>
    </w:p>
    <w:p>
      <w:pPr>
        <w:pStyle w:val="Tekstpodstawowywcity31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Ponadto, w sesji uczestniczyli: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Wójt Gminy </w:t>
        <w:tab/>
        <w:tab/>
        <w:t>-  Fabian Andrukajtis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Z-ca Wójta Gminy</w:t>
        <w:tab/>
        <w:t>-  Tomasz Kołodziejczyk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Sekretarz Gminy         -  Ryszard Kielak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Skarbnik Gminy </w:t>
        <w:tab/>
        <w:t>-  Małgorzata Sobolewska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Sołtysi, zaproszeni goście, pracownicy Urzędu Gminy i mieszkańcy gminy wg listy obecności zał. Nr 2. </w:t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Pkt 1. – Otwarcie i uchwalenie porządku obrad.</w:t>
      </w:r>
    </w:p>
    <w:p>
      <w:pPr>
        <w:pStyle w:val="Normal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Sesję otworzył Przewodniczący Rady Gminy Lidzbark Warmiński p. Jan Znamierowski.</w:t>
      </w:r>
    </w:p>
    <w:p>
      <w:pPr>
        <w:pStyle w:val="Normal"/>
        <w:ind w:left="0" w:right="0" w:hanging="0"/>
        <w:jc w:val="both"/>
        <w:rPr/>
      </w:pPr>
      <w:r>
        <w:rPr>
          <w:sz w:val="24"/>
          <w:szCs w:val="24"/>
        </w:rPr>
        <w:t>Przywitał Wójta Gminy</w:t>
      </w:r>
      <w:r>
        <w:rPr>
          <w:b w:val="false"/>
          <w:bCs w:val="false"/>
          <w:sz w:val="24"/>
          <w:szCs w:val="24"/>
        </w:rPr>
        <w:t xml:space="preserve">, </w:t>
      </w:r>
      <w:r>
        <w:rPr>
          <w:sz w:val="24"/>
          <w:szCs w:val="24"/>
        </w:rPr>
        <w:t>wszystkich radnych, sołtysów oraz przybyłych na sesję gości.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 xml:space="preserve">Stwierdził, że Rada Gminy liczy </w:t>
      </w:r>
      <w:r>
        <w:rPr>
          <w:b/>
          <w:sz w:val="24"/>
          <w:szCs w:val="24"/>
        </w:rPr>
        <w:t>15</w:t>
      </w:r>
      <w:r>
        <w:rPr>
          <w:sz w:val="24"/>
          <w:szCs w:val="24"/>
        </w:rPr>
        <w:t xml:space="preserve"> radnych, na sesji obecnych jest </w:t>
      </w:r>
      <w:r>
        <w:rPr>
          <w:b/>
          <w:sz w:val="24"/>
          <w:szCs w:val="24"/>
        </w:rPr>
        <w:t xml:space="preserve">15 </w:t>
      </w:r>
      <w:r>
        <w:rPr>
          <w:sz w:val="24"/>
          <w:szCs w:val="24"/>
        </w:rPr>
        <w:t xml:space="preserve">radnych w związku </w:t>
        <w:br/>
        <w:t>z tym, obrady są prawomocne.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Następnie Przewodniczący Rady Gminy przedstawił projekt porządku obrad, który został przesłany wszystkim radnym w zawiadomieniu o zwołaniu sesji: 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>
          <w:sz w:val="24"/>
          <w:szCs w:val="24"/>
        </w:rPr>
      </w:pPr>
      <w:r>
        <w:rPr>
          <w:sz w:val="24"/>
          <w:szCs w:val="24"/>
        </w:rPr>
        <w:t>Otwarcie i uchwalenie porządku obrad.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40" w:right="0" w:hanging="360"/>
        <w:jc w:val="both"/>
        <w:rPr/>
      </w:pPr>
      <w:r>
        <w:rPr>
          <w:sz w:val="24"/>
          <w:szCs w:val="24"/>
        </w:rPr>
        <w:t>Przyjęcie protokołu z poprzedniej sesji.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40" w:right="0" w:hanging="360"/>
        <w:jc w:val="both"/>
        <w:rPr/>
      </w:pPr>
      <w:r>
        <w:rPr>
          <w:sz w:val="24"/>
          <w:szCs w:val="24"/>
        </w:rPr>
        <w:t>Projekt uchwały w sprawie  wprowadzenia zmian w budżecie gminy na 2018 r.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 xml:space="preserve">Projekt uchwały w sprawie wprowadzenia zmian w Wieloletniej Prognozie Finansowej Gminy Lidzbark Warmiński na lata 2018-2035.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40" w:right="0" w:hanging="360"/>
        <w:jc w:val="both"/>
        <w:rPr/>
      </w:pPr>
      <w:r>
        <w:rPr>
          <w:sz w:val="24"/>
          <w:szCs w:val="24"/>
        </w:rPr>
        <w:t>Projekt uchwały w sprawie wprowadzenia odstępstwa od zakazu spożywania napojów alkoholowych w miejscach publicznych na terenie gminy Lidzbark Warmiński.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>Projekt</w:t>
      </w:r>
      <w:r>
        <w:rPr>
          <w:i/>
          <w:iCs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</w:rPr>
        <w:t>uchwały w sprawie uchwalenia „Rocznego programu współpracy Gminy Lidzbark Warmiński z organizacjami pozarządowymi oraz podmiotami wymienionymi w art. 3 ust. 3 ustawy o działalności pożytku publicznego i o wolontariacie na rok 2019”.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>Projekt uchwały zmieniającej uchwałę w sprawie uchwalenia Gminnego Programu Profilaktyki i Rozwiązywania Problemów Alkoholowych oraz Przeciwdziałania Narkomani na rok 2018.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>Informacja Przewodniczącego Rady Gminy i Wójta gminy z analizy oświadczeń majątkowych.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Informacja Wójta z bieżącej działalności gminy. </w:t>
      </w:r>
    </w:p>
    <w:p>
      <w:pPr>
        <w:pStyle w:val="Normal"/>
        <w:numPr>
          <w:ilvl w:val="0"/>
          <w:numId w:val="2"/>
        </w:numPr>
        <w:tabs>
          <w:tab w:val="left" w:pos="540" w:leader="none"/>
        </w:tabs>
        <w:suppressAutoHyphens w:val="false"/>
        <w:spacing w:before="0" w:after="120"/>
        <w:ind w:left="538" w:right="0" w:hanging="357"/>
        <w:jc w:val="both"/>
        <w:rPr/>
      </w:pPr>
      <w:r>
        <w:rPr>
          <w:sz w:val="24"/>
          <w:szCs w:val="24"/>
        </w:rPr>
        <w:t xml:space="preserve">Interpelacje i wnioski. </w:t>
      </w:r>
    </w:p>
    <w:p>
      <w:pPr>
        <w:pStyle w:val="Normal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było wniosków do proponowanego porządku obrad, w związku z tym przedstawiony porządek obrad poddano głosowaniu. </w:t>
      </w:r>
    </w:p>
    <w:p>
      <w:pPr>
        <w:pStyle w:val="Wcicietrecitekstu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 xml:space="preserve">W wyniku głosowania, w którym wzięło udział 15 radnych, Rada Gminy jednogłośnie </w:t>
        <w:br/>
        <w:t xml:space="preserve">(15 głosów „ZA”, 0 głosów „PRZECIW”, nikt nie wstrzymał się od głosu) uchwaliła przedstawiony przez Przewodniczącego Rady Gminy porządek obrad. </w:t>
      </w:r>
    </w:p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rPr/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Pkt 2. - Przyjęcie protokołu z poprzedniej sesji.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Przewodniczący Rady Gminy poinformował, że protokół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 trzydziestej ósmej sesji Rady Gminy  był dostępny do wglądu w Urzędzie Gminy i każdy miał możliwość zapoznania się z jego treścią, dlatego zaproponował przyjęcie go bez odczytywania.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wniosków w sprawie przyjęcia protokołu,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/>
      </w:pPr>
      <w:r>
        <w:rPr>
          <w:sz w:val="24"/>
          <w:szCs w:val="24"/>
        </w:rPr>
        <w:tab/>
        <w:t>W wyniku głosowania, w którym wzięło udział 15 radnych, Rada Gminy jednogłośnie</w:t>
        <w:br/>
        <w:t>(</w:t>
      </w:r>
      <w:bookmarkStart w:id="0" w:name="__DdeLink__1072_752558388"/>
      <w:r>
        <w:rPr>
          <w:sz w:val="24"/>
          <w:szCs w:val="24"/>
        </w:rPr>
        <w:t>15 głosów „ZA”, 0 głosów „PRZECIW”, nikt nie wstrzymał się od głosu</w:t>
      </w:r>
      <w:bookmarkEnd w:id="0"/>
      <w:r>
        <w:rPr>
          <w:sz w:val="24"/>
          <w:szCs w:val="24"/>
        </w:rPr>
        <w:t>) przyjęła protokół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z XXXVIII sesji Rady Gminy z dnia 17 października 2018 r.   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pacing w:lineRule="auto" w:line="360"/>
        <w:rPr/>
      </w:pPr>
      <w:r>
        <w:rPr>
          <w:b/>
          <w:sz w:val="24"/>
          <w:szCs w:val="24"/>
        </w:rPr>
        <w:t>Pkt  3. -  Projekt uchwały w sprawie  wprowadzenia zmian w budżecie  gminy na 2018 r.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Przewodniczący Rady Gminy poinformował, że projekt uchwały w sprawie zmian w budżecie na rok bieżący otrzymali wszyscy radni i został pozytywnie zaopiniowany przez Komisje Rady Gminy. 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Przewodnicząca Rady Gminy p. Iwona Końka przedstawiła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ani wniosków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ind w:firstLine="709"/>
        <w:jc w:val="both"/>
        <w:rPr/>
      </w:pPr>
      <w:r>
        <w:rPr>
          <w:sz w:val="24"/>
          <w:szCs w:val="24"/>
        </w:rPr>
        <w:t>W wyniku głosowania, w którym wzięło udział 15 radnych, Rada Gminy jednogłośnie</w:t>
        <w:br/>
        <w:t>(15 głosów „ZA”, 0 głosów „PRZECIW”, nikt nie wstrzymał się od głosu) podjęła uchwałę</w:t>
        <w:br/>
        <w:t xml:space="preserve">w sprawie  wprowadzenia zmian w budżecie  gminy na 2018 r. 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/>
      </w:pPr>
      <w:r>
        <w:rPr>
          <w:i/>
          <w:sz w:val="24"/>
          <w:szCs w:val="24"/>
        </w:rPr>
        <w:t>Uchwała Nr XXXIX/286/2018 RG. w ww. sprawie stanowi załącznik nr 3 do niniejszego protokołu.</w:t>
      </w:r>
    </w:p>
    <w:p>
      <w:pPr>
        <w:pStyle w:val="Normal"/>
        <w:tabs>
          <w:tab w:val="left" w:pos="426" w:leader="none"/>
          <w:tab w:val="left" w:pos="502" w:leader="none"/>
        </w:tabs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left="900" w:hanging="900"/>
        <w:rPr/>
      </w:pPr>
      <w:r>
        <w:rPr>
          <w:b/>
          <w:sz w:val="24"/>
          <w:szCs w:val="24"/>
        </w:rPr>
        <w:t>Pkt 4. - Projekt uchwały w sprawie  uchwalenia zmian w Wieloletniej Prognozie Finansowej  Gminy Lidzbark Warmiński na lata 2018-2035.</w:t>
      </w:r>
    </w:p>
    <w:p>
      <w:pPr>
        <w:pStyle w:val="Wcicietrecitekstu"/>
        <w:tabs>
          <w:tab w:val="left" w:pos="709" w:leader="none"/>
        </w:tabs>
        <w:ind w:left="900" w:hanging="90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ab/>
        <w:t>Przewodniczący Rady Gm. poinformował, że projekt zmian w Wieloletniej Prognozie Finansowej na lata 2018-2035 otrzymali wszyscy radni i również został pozytywnie zaopiniowany przez Komisje Rady Gminy.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Przewodniczący Rady Gminy p. Leszek Maciejewski przedstawił projekt uchwały w tej sprawie.</w:t>
      </w:r>
    </w:p>
    <w:p>
      <w:pPr>
        <w:pStyle w:val="Tekstpodstawowywcity31"/>
        <w:spacing w:before="0" w:after="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ind w:firstLine="709"/>
        <w:jc w:val="both"/>
        <w:rPr/>
      </w:pPr>
      <w:r>
        <w:rPr>
          <w:sz w:val="24"/>
          <w:szCs w:val="24"/>
        </w:rPr>
        <w:t>W wyniku głosowania, w którym wzięło udział 15 radnych, Rada Gminy jednogłośnie</w:t>
        <w:br/>
        <w:t>(15 głosów „ZA”, 0 głosów „PRZECIW”, nikt nie wstrzymał się od głosu) podjęła  uchwałę</w:t>
        <w:br/>
        <w:t>w sprawie uchwalenia zmian w Wieloletniej Prognozie Finansowej  Gminy Lidzbark Warmiński na lata 2018-2035.</w:t>
      </w:r>
    </w:p>
    <w:p>
      <w:pPr>
        <w:pStyle w:val="Wcicietrecitekstu"/>
        <w:tabs>
          <w:tab w:val="left" w:pos="0" w:leader="none"/>
        </w:tabs>
        <w:ind w:left="0" w:hanging="0"/>
        <w:rPr/>
      </w:pPr>
      <w:r>
        <w:rPr>
          <w:i/>
          <w:sz w:val="24"/>
          <w:szCs w:val="24"/>
        </w:rPr>
        <w:t>Uchwała Nr XXXIX/287/2018 RG. w ww. sprawie stanowi załącznik nr 4 do niniejszego protokołu.</w:t>
      </w:r>
    </w:p>
    <w:p>
      <w:pPr>
        <w:pStyle w:val="Wcicietrecitekstu"/>
        <w:tabs>
          <w:tab w:val="left" w:pos="0" w:leader="none"/>
        </w:tabs>
        <w:ind w:left="0" w:hanging="0"/>
        <w:rPr/>
      </w:pPr>
      <w:r>
        <w:rPr>
          <w:b/>
          <w:i/>
          <w:sz w:val="24"/>
          <w:szCs w:val="24"/>
        </w:rPr>
        <w:t xml:space="preserve"> </w:t>
      </w:r>
    </w:p>
    <w:p>
      <w:pPr>
        <w:pStyle w:val="Normal"/>
        <w:ind w:left="993" w:hanging="993"/>
        <w:jc w:val="both"/>
        <w:rPr/>
      </w:pPr>
      <w:r>
        <w:rPr>
          <w:b/>
          <w:sz w:val="24"/>
          <w:szCs w:val="24"/>
        </w:rPr>
        <w:t>Pkt 5. – Projekt uchwały w sprawie wprowadzenia odstępstwa od zakazu spożywania napojów alkoholowych w miejscach publicznych na terenie gminy Lidzbark Warmiński</w:t>
      </w:r>
      <w:r>
        <w:rPr>
          <w:b/>
          <w:color w:val="00000A"/>
          <w:sz w:val="24"/>
          <w:szCs w:val="24"/>
        </w:rPr>
        <w:t>.</w:t>
      </w:r>
    </w:p>
    <w:p>
      <w:pPr>
        <w:pStyle w:val="Wcicietrecitekstu"/>
        <w:tabs>
          <w:tab w:val="left" w:pos="0" w:leader="none"/>
        </w:tabs>
        <w:ind w:left="0" w:hanging="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Wcicietrecitekstu"/>
        <w:tabs>
          <w:tab w:val="left" w:pos="0" w:leader="none"/>
        </w:tabs>
        <w:ind w:left="0" w:right="0" w:firstLine="709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>Przewodniczący Rady Gminy poinformował, ze podjęta przez Rade Gminy Lidzbark Warmiński uchwała Nr XXXVII/276/2018 z dnia 24 sierpnia 2018 r., w tej sprawie została zaskarżona przez Wojewodę Warmińsko-Mazurskiego do Wojewódzkiego Sądu Administracyjnego w Olsztynie. Rada Gminy Lidzbark Warmiński uznała skargę za zasadą i zgodnie z wytycznymi wskazanymi w uzasadnieniu skargi przygotowano szczegółowy wykaz miejsc, w których dopuszcza się spożywanie napojów alkoholowych w miejscach publicznych</w:t>
      </w:r>
      <w:r>
        <w:rPr>
          <w:rFonts w:eastAsia="Times New Roman" w:cs="Times New Roman"/>
          <w:b w:val="false"/>
          <w:bCs w:val="false"/>
          <w:i w:val="false"/>
          <w:iCs w:val="false"/>
          <w:sz w:val="24"/>
          <w:szCs w:val="24"/>
        </w:rPr>
        <w:t>.</w:t>
      </w:r>
    </w:p>
    <w:p>
      <w:pPr>
        <w:pStyle w:val="Normal"/>
        <w:tabs>
          <w:tab w:val="left" w:pos="0" w:leader="none"/>
        </w:tabs>
        <w:ind w:hanging="0"/>
        <w:jc w:val="both"/>
        <w:rPr/>
      </w:pPr>
      <w:r>
        <w:rPr>
          <w:b w:val="false"/>
          <w:bCs/>
          <w:i w:val="false"/>
          <w:iCs w:val="false"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jc w:val="both"/>
        <w:rPr/>
      </w:pPr>
      <w:r>
        <w:rPr>
          <w:b w:val="false"/>
          <w:bCs/>
          <w:i w:val="false"/>
          <w:iCs w:val="false"/>
          <w:color w:val="00000A"/>
          <w:sz w:val="24"/>
          <w:szCs w:val="24"/>
        </w:rPr>
        <w:t>V-ce Przewodnicząca Rady Gminy p. Iwona Końka przedstawiła projekt uchwały w tej sprawie.</w:t>
      </w:r>
    </w:p>
    <w:p>
      <w:pPr>
        <w:pStyle w:val="Normal"/>
        <w:tabs>
          <w:tab w:val="left" w:pos="0" w:leader="none"/>
        </w:tabs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>W wyniku głosowania, w którym wzięło udział 15 radnych, Rada Gminy jednogłośnie</w:t>
        <w:br/>
        <w:t>(15 głosów „ZA”, 0 głosów „PRZECIW”, nikt nie wstrzymała się od głosu) podjęła uchwałę</w:t>
        <w:br/>
        <w:t>w sprawie wprowadzenia odstępstwa od zakazu spożywania napojów alkoholowych w miejscach publicznych na terenie gminy Lidzbark Warmiński.</w:t>
      </w:r>
    </w:p>
    <w:p>
      <w:pPr>
        <w:pStyle w:val="Wcicietrecitekstu"/>
        <w:tabs>
          <w:tab w:val="left" w:pos="0" w:leader="none"/>
        </w:tabs>
        <w:ind w:left="0" w:right="0" w:hanging="0"/>
        <w:jc w:val="both"/>
        <w:rPr/>
      </w:pPr>
      <w:bookmarkStart w:id="1" w:name="__DdeLink__1025_1210754878"/>
      <w:r>
        <w:rPr>
          <w:b w:val="false"/>
          <w:bCs w:val="false"/>
          <w:i/>
          <w:iCs/>
          <w:sz w:val="24"/>
          <w:szCs w:val="24"/>
        </w:rPr>
        <w:t xml:space="preserve">Uchwała Nr XXXIX/288/2018 RG. w ww. sprawie stanowi załącznik nr </w:t>
      </w:r>
      <w:bookmarkEnd w:id="1"/>
      <w:r>
        <w:rPr>
          <w:b w:val="false"/>
          <w:bCs w:val="false"/>
          <w:i/>
          <w:iCs/>
          <w:sz w:val="24"/>
          <w:szCs w:val="24"/>
        </w:rPr>
        <w:t>5 do niniejszego protokołu.</w:t>
      </w:r>
    </w:p>
    <w:p>
      <w:pPr>
        <w:pStyle w:val="Wcicietrecitekstu"/>
        <w:tabs>
          <w:tab w:val="left" w:pos="0" w:leader="none"/>
        </w:tabs>
        <w:ind w:left="0" w:right="0" w:hanging="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Normal"/>
        <w:tabs>
          <w:tab w:val="left" w:pos="0" w:leader="none"/>
        </w:tabs>
        <w:ind w:left="993" w:hanging="993"/>
        <w:jc w:val="both"/>
        <w:rPr/>
      </w:pPr>
      <w:r>
        <w:rPr>
          <w:b/>
          <w:i w:val="false"/>
          <w:iCs w:val="false"/>
          <w:sz w:val="24"/>
          <w:szCs w:val="24"/>
        </w:rPr>
        <w:t>Pkt 6. – Projekt uchwały w sprawie uchwalenia „Rocznego programu współpracy Gminy Lidzbark Warmiński z organizacjami pozarządowymi oraz podmiotami wymienionymi w art. 3 ust. 3 ustawy o działalności pożytku publicznego</w:t>
        <w:br/>
        <w:t>i o wolontariacie na rok 2019”.</w:t>
      </w:r>
    </w:p>
    <w:p>
      <w:pPr>
        <w:pStyle w:val="Normal"/>
        <w:tabs>
          <w:tab w:val="left" w:pos="0" w:leader="none"/>
        </w:tabs>
        <w:ind w:left="993" w:hanging="993"/>
        <w:jc w:val="both"/>
        <w:rPr>
          <w:b/>
          <w:b/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</w:r>
    </w:p>
    <w:p>
      <w:pPr>
        <w:pStyle w:val="Normal"/>
        <w:tabs>
          <w:tab w:val="left" w:pos="0" w:leader="none"/>
        </w:tabs>
        <w:spacing w:before="0" w:after="0"/>
        <w:ind w:left="0" w:right="0" w:firstLine="709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>Przewodniczący Rady Gminy poinformował, że projekt uchwały określa zakres i formy współpracy Gminy Lidzbark Warmiński z organizacjami pozarządowymi oraz podmiotami wymienionymi w art. 3 ust. 3 ustawy, a także wysokość środków finansowych zaplanowanych na realizację programu. Projekt został poddany konsultacjom zgodnie z Uchwałą Nr VIII/58/11 Rady Gminy Lidzbark Warmiński z dnia 8 czerwca 2011 r. w sprawie konsultowania niektórych projektów prawa miejscowego – w terminie od 10 października do 31 października 2018 r.</w:t>
      </w:r>
    </w:p>
    <w:p>
      <w:pPr>
        <w:pStyle w:val="Normal"/>
        <w:ind w:hanging="0"/>
        <w:jc w:val="both"/>
        <w:rPr/>
      </w:pPr>
      <w:r>
        <w:rPr>
          <w:bCs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Przewodniczący Rady Gminy p. Leszek Maciejewski przedstawił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/>
      </w:pPr>
      <w:r>
        <w:rPr>
          <w:sz w:val="24"/>
          <w:szCs w:val="24"/>
        </w:rPr>
        <w:t>W wyniku głosowania, w którym wzięło udział 15 radnych, Rada Gminy jednogłośnie</w:t>
        <w:br/>
        <w:t>(15 głosów „ZA”, 0 głosów „PRZECIW”, nikt nie wstrzymał się od głosu) podjęła uchwałę</w:t>
        <w:br/>
        <w:t>w sprawie uchwalenia „Rocznego programu współpracy Gminy Lidzbark Warmiński organizacjami pozarządowymi oraz podmiotami wymienionymi w art. 3 ust. 3 ustawy o działalności pożytku publicznego i o wolontariacie na rok 2019”.</w:t>
      </w:r>
    </w:p>
    <w:p>
      <w:pPr>
        <w:pStyle w:val="Wcicietrecitekstu"/>
        <w:tabs>
          <w:tab w:val="left" w:pos="0" w:leader="none"/>
        </w:tabs>
        <w:spacing w:before="0" w:after="0"/>
        <w:ind w:left="0" w:right="0" w:hanging="0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Uchwała Nr XXXIX/289/2018 RG. w ww. sprawie stanowi załącznik nr 6 do niniejszego protokołu.</w:t>
      </w:r>
    </w:p>
    <w:p>
      <w:pPr>
        <w:pStyle w:val="Wcicietrecitekstu"/>
        <w:tabs>
          <w:tab w:val="left" w:pos="0" w:leader="none"/>
        </w:tabs>
        <w:ind w:left="0" w:hanging="0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Wcicietrecitekstu"/>
        <w:tabs>
          <w:tab w:val="left" w:pos="0" w:leader="none"/>
        </w:tabs>
        <w:spacing w:before="0" w:after="0"/>
        <w:ind w:left="0" w:right="0" w:hanging="0"/>
        <w:jc w:val="both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tabs>
          <w:tab w:val="left" w:pos="0" w:leader="none"/>
        </w:tabs>
        <w:ind w:left="993" w:hanging="993"/>
        <w:jc w:val="both"/>
        <w:rPr/>
      </w:pPr>
      <w:r>
        <w:rPr>
          <w:b/>
          <w:i w:val="false"/>
          <w:iCs w:val="false"/>
          <w:sz w:val="24"/>
          <w:szCs w:val="24"/>
        </w:rPr>
        <w:t>Pkt 7. – Projekt uchwały zmieniającej uchwałę w sprawie uchwalenia Gminnego Programu Profilaktyki i Rozwiązywania Problemów Alkoholowych oraz Przeciwdziałania Narkomani na rok 2018.</w:t>
      </w:r>
    </w:p>
    <w:p>
      <w:pPr>
        <w:pStyle w:val="Wcicietrecitekstu"/>
        <w:tabs>
          <w:tab w:val="left" w:pos="0" w:leader="none"/>
        </w:tabs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Wcicietrecitekstu"/>
        <w:tabs>
          <w:tab w:val="left" w:pos="0" w:leader="none"/>
        </w:tabs>
        <w:ind w:left="0" w:right="0" w:firstLine="709"/>
        <w:rPr/>
      </w:pPr>
      <w:r>
        <w:rPr>
          <w:b w:val="false"/>
          <w:bCs w:val="false"/>
          <w:sz w:val="24"/>
          <w:szCs w:val="24"/>
        </w:rPr>
        <w:t xml:space="preserve">Przewodniczący Rady Gminy poinformował, że </w:t>
      </w:r>
      <w:r>
        <w:rPr>
          <w:rFonts w:eastAsia="Times New Roman" w:cs="Times New Roman"/>
          <w:b w:val="false"/>
          <w:bCs w:val="false"/>
          <w:sz w:val="24"/>
          <w:szCs w:val="24"/>
        </w:rPr>
        <w:t>zmiany w uchwale mają na celu usprawnienie pracy Komisji, dlatego zarządzeniem Wójta określono dodatkowo funkcję Zastępcy Przewodniczącego co przyczyni się do efektywniejszego działania Komisji w zakresie zadań własnych Gminy Lidzbark Warmiński, o których mowa w art. 4</w:t>
      </w:r>
      <w:r>
        <w:rPr>
          <w:rFonts w:eastAsia="Times New Roman" w:cs="Times New Roman"/>
          <w:b w:val="false"/>
          <w:bCs w:val="false"/>
          <w:sz w:val="24"/>
          <w:szCs w:val="24"/>
          <w:vertAlign w:val="superscript"/>
        </w:rPr>
        <w:t>1</w:t>
      </w: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 ust. 1 ustawy z dnia 26 października 1982 r. o wychowaniu w trzeźwości i przeciwdziałaniu alkoholizmowi</w:t>
      </w:r>
    </w:p>
    <w:p>
      <w:pPr>
        <w:pStyle w:val="Normal"/>
        <w:ind w:hanging="0"/>
        <w:jc w:val="both"/>
        <w:rPr/>
      </w:pPr>
      <w:r>
        <w:rPr>
          <w:bCs/>
          <w:color w:val="00000A"/>
          <w:sz w:val="24"/>
          <w:szCs w:val="24"/>
        </w:rPr>
        <w:t>Projekt uchwały był omawiany przez Komisje Rady Gminy i został zaopiniowany pozytywnie.</w:t>
      </w:r>
    </w:p>
    <w:p>
      <w:pPr>
        <w:pStyle w:val="Wcicietrecitekstu"/>
        <w:tabs>
          <w:tab w:val="left" w:pos="709" w:leader="none"/>
        </w:tabs>
        <w:ind w:left="0" w:hanging="0"/>
        <w:rPr/>
      </w:pPr>
      <w:r>
        <w:rPr>
          <w:sz w:val="24"/>
          <w:szCs w:val="24"/>
        </w:rPr>
        <w:t>V-ce Przewodnicząca Rady Gminy p. Iwona Końka przedstawiła projekt uchwały w tej sprawie.</w:t>
      </w:r>
    </w:p>
    <w:p>
      <w:pPr>
        <w:pStyle w:val="Tekstpodstawowywcity31"/>
        <w:spacing w:before="0" w:after="0"/>
        <w:ind w:left="0" w:hanging="0"/>
        <w:jc w:val="both"/>
        <w:rPr/>
      </w:pPr>
      <w:r>
        <w:rPr>
          <w:sz w:val="24"/>
          <w:szCs w:val="24"/>
        </w:rPr>
        <w:t>Nie było zgłoszeń do projektu uchwały, w związku z tym poddano go pod głosowanie.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/>
      </w:pPr>
      <w:r>
        <w:rPr>
          <w:sz w:val="24"/>
          <w:szCs w:val="24"/>
        </w:rPr>
        <w:t>W wyniku głosowania, w którym wzięło udział 15 radnych, Rada Gminy jednogłośnie</w:t>
        <w:br/>
        <w:t>(15 głosów „ZA”, 0 głosów „PRZECIW”, nikt nie wstrzymał się od głosu) podjęła uchwałę</w:t>
        <w:br/>
        <w:t>zmieniającą uchwałę w sprawie uchwalenia Gminnego Programu Profilaktyki i Rozwiązywania Problemów Alkoholowych oraz Przeciwdziałania Narkomani na rok 2018.</w:t>
      </w:r>
    </w:p>
    <w:p>
      <w:pPr>
        <w:pStyle w:val="Wcicietrecitekstu"/>
        <w:tabs>
          <w:tab w:val="left" w:pos="0" w:leader="none"/>
        </w:tabs>
        <w:spacing w:before="0" w:after="0"/>
        <w:ind w:left="0" w:right="0" w:hanging="0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>Uchwała Nr XXXIX/290/2018 RG. w ww. sprawie stanowi załącznik nr 7 do niniejszego protokołu.</w:t>
      </w:r>
    </w:p>
    <w:p>
      <w:pPr>
        <w:pStyle w:val="Normal"/>
        <w:tabs>
          <w:tab w:val="left" w:pos="426" w:leader="none"/>
          <w:tab w:val="left" w:pos="502" w:leader="none"/>
        </w:tabs>
        <w:spacing w:before="0" w:after="0"/>
        <w:ind w:firstLine="709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Normal"/>
        <w:ind w:left="851" w:right="0" w:hanging="851"/>
        <w:jc w:val="both"/>
        <w:rPr/>
      </w:pPr>
      <w:r>
        <w:rPr>
          <w:b/>
          <w:i w:val="false"/>
          <w:iCs w:val="false"/>
          <w:sz w:val="24"/>
          <w:szCs w:val="24"/>
        </w:rPr>
        <w:t>Pkt 8. – Informacja Przewodniczącego Rady Gminy i Wójta Gminy z analizy oświadczeń majątkowych.</w:t>
      </w:r>
    </w:p>
    <w:p>
      <w:pPr>
        <w:pStyle w:val="Normal"/>
        <w:ind w:left="850" w:right="0" w:hanging="850"/>
        <w:rPr/>
      </w:pPr>
      <w:r>
        <w:rPr/>
      </w:r>
    </w:p>
    <w:p>
      <w:pPr>
        <w:pStyle w:val="Wcicietrecitekstu"/>
        <w:tabs>
          <w:tab w:val="left" w:pos="0" w:leader="none"/>
        </w:tabs>
        <w:ind w:left="0" w:right="0" w:firstLine="709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Przewodniczący Rady Gminy przypomniał, że do dnia 31 października Przewodniczący Rady Gminy oraz Wójt przedstawiają Radzie Gminy Gminy wyniki analizy oświadczeń majątkowych złożonych w 2018 r. przez osoby do tego zobowiązane. </w:t>
      </w:r>
    </w:p>
    <w:p>
      <w:pPr>
        <w:pStyle w:val="Wcicietrecitekstu"/>
        <w:tabs>
          <w:tab w:val="left" w:pos="0" w:leader="none"/>
        </w:tabs>
        <w:ind w:left="0" w:right="0" w:firstLine="709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>Sekretarz Gminy z upoważnienia Przewodniczącego Rady Gminy i Wójta Gminy odczytał informację Naczelnika Urzędu Skarbowego w Bartoszycach oraz Wojewody Warmińsko-Mazurskiego w Olsztynie z analizy oświadczeń majątkowych.</w:t>
      </w:r>
    </w:p>
    <w:p>
      <w:pPr>
        <w:pStyle w:val="Wcicietrecitekstu"/>
        <w:tabs>
          <w:tab w:val="left" w:pos="0" w:leader="none"/>
        </w:tabs>
        <w:ind w:left="0" w:right="0" w:firstLine="709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W obu informacjach stwierdzono, że analizy oświadczeń majątkowych nie wykazały nieprawidłowości jedynie drobne uchybienia jak np. nie wskazanie miejsca urodzenia, nie podanie powierzchni działki wykazanej w oświadczeniu.</w:t>
      </w:r>
    </w:p>
    <w:p>
      <w:pPr>
        <w:pStyle w:val="Tekstpodstawowywcity31"/>
        <w:spacing w:before="0" w:after="0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Nie było pytań w przedmiotowej sprawie.</w:t>
      </w:r>
    </w:p>
    <w:p>
      <w:pPr>
        <w:pStyle w:val="Normal"/>
        <w:tabs>
          <w:tab w:val="left" w:pos="426" w:leader="none"/>
          <w:tab w:val="left" w:pos="502" w:leader="none"/>
        </w:tabs>
        <w:ind w:left="900" w:right="0" w:hanging="90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Wcicietrecitekstu"/>
        <w:tabs>
          <w:tab w:val="left" w:pos="0" w:leader="none"/>
        </w:tabs>
        <w:ind w:left="0" w:hanging="0"/>
        <w:rPr/>
      </w:pPr>
      <w:r>
        <w:rPr>
          <w:b/>
          <w:sz w:val="24"/>
          <w:szCs w:val="24"/>
        </w:rPr>
        <w:t>Pkt 9. – Informacja Wójta z bieżącej działalności gminy.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Web"/>
        <w:spacing w:before="0" w:after="0"/>
        <w:ind w:firstLine="539"/>
        <w:jc w:val="both"/>
        <w:rPr/>
      </w:pPr>
      <w:r>
        <w:rPr/>
        <w:t>Na wstępie Wójt Gminy podziękował mieszkańcom gminy</w:t>
      </w:r>
      <w:r>
        <w:rPr>
          <w:rFonts w:eastAsia="Calibri"/>
          <w:color w:val="00000A"/>
          <w:position w:val="0"/>
          <w:sz w:val="24"/>
          <w:sz w:val="24"/>
          <w:szCs w:val="22"/>
          <w:vertAlign w:val="baseline"/>
          <w:lang w:eastAsia="ar-SA"/>
        </w:rPr>
        <w:t xml:space="preserve"> za okazane zaufanie i ponowny wybór na stanowisko Wójta Gminy. Podziękował także radnym i sołtysom, gdyż na sukces wyborczy złożyła się także ich ciężka praca w okręgach i sołectwach. Poinformował, że nie spodziewał się aż tak dużego poparcia przekraczającego ponad 90% a dalszą pracą na rzecz Gminy i mieszkańców postara się przekonać pozostałe 9,5% głosujących, którzy opowiedzieli się przeciwko jego wyborowi na Wójta. Podziękował także sołtysom i radnym, którzy w środę 7 listopada uczestniczyli w Gminnych Obchodach  100 rocznicy Odzyskania Niepodległości</w:t>
        <w:br/>
        <w:t>w Rogóżu.</w:t>
      </w:r>
    </w:p>
    <w:p>
      <w:pPr>
        <w:pStyle w:val="NormalWeb"/>
        <w:spacing w:before="0" w:after="0"/>
        <w:ind w:firstLine="539"/>
        <w:jc w:val="both"/>
        <w:rPr/>
      </w:pPr>
      <w:r>
        <w:rPr>
          <w:rFonts w:eastAsia="Calibri"/>
          <w:color w:val="00000A"/>
          <w:position w:val="0"/>
          <w:sz w:val="24"/>
          <w:sz w:val="24"/>
          <w:szCs w:val="22"/>
          <w:vertAlign w:val="baseline"/>
          <w:lang w:eastAsia="ar-SA"/>
        </w:rPr>
        <w:t>Następnie Wójt przeszedł do informacji z bieżącej działalności gminy. Poinformował,</w:t>
        <w:br/>
        <w:t>że w drodze rokowań sprzedano nieruchomość w Markajmach, a ustalona podczas rokowań kwota sprzedaży wyniosła 350 tysięcy zł. Poinformował także, że Zakład Gospodarki Odpadami Komunalnymi z Olsztyna złożył przeciwko Gminie Wiejskiej Lidzbark Warmiński, Gminie Miejskiej Lidzbark Warmiński i Przedsiębiorstwu Gospodarki Komunalnej  pozew o zwrot ponad 2.600.000 zł poniesionych przez ZGOK tytułem wykonania rekultywacji składowiska odpadów</w:t>
        <w:br/>
        <w:t>w Medynach. Cały czas wykonywane są naprawy dróg gminnych systemem gospodarczym. Wykonywany jest także remont garaży gminnych przy budynku Urzędu Gminy, które znajdowały się w bardzo złym stanie.</w:t>
      </w:r>
    </w:p>
    <w:p>
      <w:pPr>
        <w:pStyle w:val="NormalWeb"/>
        <w:spacing w:before="0" w:after="0"/>
        <w:ind w:firstLine="539"/>
        <w:jc w:val="both"/>
        <w:rPr/>
      </w:pPr>
      <w:r>
        <w:rPr>
          <w:rFonts w:eastAsia="Calibri"/>
          <w:color w:val="00000A"/>
          <w:position w:val="0"/>
          <w:sz w:val="24"/>
          <w:sz w:val="24"/>
          <w:szCs w:val="22"/>
          <w:vertAlign w:val="baseline"/>
          <w:lang w:eastAsia="ar-SA"/>
        </w:rPr>
        <w:t>W dalszej kolejności Wójt przedstawił prezentację podsumowującą kadencję 2014-2018, podczas której omówił najważniejsze wydarzenia i inwestycje mijającej kadencji. Na zakończenie podziękował współpracownikom, a szczególne podziękowania skierował do pracowników Urzędu Gminy, którzy swoją postawą wspólnie pracują na dobrą opinię o Gminie.</w:t>
      </w:r>
    </w:p>
    <w:p>
      <w:pPr>
        <w:pStyle w:val="NormalWeb"/>
        <w:spacing w:before="0" w:after="0"/>
        <w:ind w:firstLine="539"/>
        <w:jc w:val="both"/>
        <w:rPr>
          <w:rFonts w:eastAsia="Calibri"/>
          <w:color w:val="00000A"/>
          <w:sz w:val="24"/>
          <w:szCs w:val="24"/>
          <w:lang w:eastAsia="en-US"/>
        </w:rPr>
      </w:pPr>
      <w:r>
        <w:rPr>
          <w:rFonts w:eastAsia="Calibri"/>
          <w:color w:val="00000A"/>
          <w:sz w:val="24"/>
          <w:szCs w:val="24"/>
          <w:lang w:eastAsia="en-US"/>
        </w:rPr>
      </w:r>
    </w:p>
    <w:p>
      <w:pPr>
        <w:pStyle w:val="Normal"/>
        <w:rPr/>
      </w:pPr>
      <w:r>
        <w:rPr>
          <w:b/>
          <w:sz w:val="24"/>
          <w:szCs w:val="24"/>
        </w:rPr>
        <w:t>Pkt 10. – Interpelacje i wnioski.</w:t>
      </w:r>
    </w:p>
    <w:p>
      <w:pPr>
        <w:pStyle w:val="Normal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4"/>
          <w:szCs w:val="24"/>
        </w:rPr>
        <w:t>Nie zgłoszono żadnych wniosków.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  <w:t>W związku z wyczerpaniem  porządku  obrad,  Przewodniczący Rady Gminy Lidzbark Warmiński – Pan Jan Znamierowski zamknął trzydziesta ósmą sesję Rady Gminy Lidzbark Warmiński, dziękując wszystkim za udział w sesji, życząc wszystkim startującym w wyborach do Rady Gminy kandydatom powodzenia.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Protokolant:</w:t>
      </w:r>
      <w:r>
        <w:rPr>
          <w:sz w:val="24"/>
          <w:szCs w:val="24"/>
        </w:rPr>
        <w:tab/>
        <w:tab/>
        <w:tab/>
        <w:tab/>
        <w:tab/>
        <w:tab/>
        <w:tab/>
        <w:t xml:space="preserve">  PRZEWODNICZĄCY</w:t>
      </w:r>
    </w:p>
    <w:p>
      <w:pPr>
        <w:pStyle w:val="Normal"/>
        <w:rPr/>
      </w:pPr>
      <w:r>
        <w:rPr/>
        <w:t>Radosław Krajewski</w:t>
      </w:r>
      <w:r>
        <w:rPr>
          <w:sz w:val="24"/>
          <w:szCs w:val="24"/>
        </w:rPr>
        <w:tab/>
        <w:tab/>
        <w:tab/>
        <w:tab/>
        <w:tab/>
        <w:tab/>
        <w:t xml:space="preserve">         Rady Gminy</w:t>
      </w:r>
    </w:p>
    <w:p>
      <w:pPr>
        <w:pStyle w:val="Normal"/>
        <w:rPr/>
      </w:pPr>
      <w:r>
        <w:rPr>
          <w:sz w:val="24"/>
          <w:szCs w:val="24"/>
        </w:rPr>
        <w:tab/>
        <w:tab/>
        <w:tab/>
        <w:tab/>
        <w:tab/>
        <w:tab/>
        <w:tab/>
        <w:tab/>
      </w:r>
      <w:r>
        <w:rPr>
          <w:b/>
          <w:sz w:val="24"/>
          <w:szCs w:val="24"/>
        </w:rPr>
        <w:t xml:space="preserve">     Marek Werbicki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right"/>
        <w:rPr/>
      </w:pPr>
      <w:r>
        <w:rPr>
          <w:sz w:val="24"/>
          <w:szCs w:val="24"/>
        </w:rPr>
        <w:t>Załącznik nr 1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9495" cy="863981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Załącznik nr 2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9495" cy="8639810"/>
            <wp:effectExtent l="0" t="0" r="0" b="0"/>
            <wp:wrapSquare wrapText="largest"/>
            <wp:docPr id="2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9495" cy="8639810"/>
            <wp:effectExtent l="0" t="0" r="0" b="0"/>
            <wp:wrapSquare wrapText="largest"/>
            <wp:docPr id="3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5"/>
      <w:type w:val="nextPage"/>
      <w:pgSz w:w="11906" w:h="16838"/>
      <w:pgMar w:left="1418" w:right="851" w:header="0" w:top="1134" w:footer="709" w:bottom="1135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egoe UI">
    <w:altName w:val="Arial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KOFD+TimesNewRomanPSMT">
    <w:altName w:val="Times"/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 wp14:anchorId="6B0FC386">
              <wp:simplePos x="0" y="0"/>
              <wp:positionH relativeFrom="margin">
                <wp:align>center</wp:align>
              </wp:positionH>
              <wp:positionV relativeFrom="paragraph">
                <wp:posOffset>-72390</wp:posOffset>
              </wp:positionV>
              <wp:extent cx="309880" cy="284480"/>
              <wp:effectExtent l="0" t="0" r="0" b="0"/>
              <wp:wrapSquare wrapText="largest"/>
              <wp:docPr id="4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40" cy="28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720" rIns="720" t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fillcolor="white" stroked="f" style="position:absolute;margin-left:228.7pt;margin-top:-5.7pt;width:24.3pt;height:22.3pt;mso-position-horizontal:center;mso-position-horizontal-relative:margin" wp14:anchorId="6B0FC386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  <w:rPr>
        <w:sz w:val="24"/>
        <w:b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24"/>
        <w:b/>
        <w:szCs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pl-PL" w:eastAsia="zh-CN" w:bidi="ar-SA"/>
    </w:rPr>
  </w:style>
  <w:style w:type="paragraph" w:styleId="Nagwek1">
    <w:name w:val="Heading 1"/>
    <w:basedOn w:val="Normal"/>
    <w:qFormat/>
    <w:pPr>
      <w:keepNext/>
      <w:numPr>
        <w:ilvl w:val="0"/>
        <w:numId w:val="1"/>
      </w:numPr>
      <w:outlineLvl w:val="0"/>
      <w:outlineLvl w:val="0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  <w:sz w:val="24"/>
      <w:szCs w:val="24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/>
      <w:i w:val="false"/>
      <w:iCs w:val="false"/>
      <w:color w:val="000000"/>
      <w:sz w:val="24"/>
      <w:szCs w:val="24"/>
    </w:rPr>
  </w:style>
  <w:style w:type="character" w:styleId="WW8Num3z0" w:customStyle="1">
    <w:name w:val="WW8Num3z0"/>
    <w:qFormat/>
    <w:rPr>
      <w:rFonts w:eastAsia="Calibri"/>
      <w:b/>
      <w:sz w:val="16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lang w:eastAsia="pl-PL"/>
    </w:rPr>
  </w:style>
  <w:style w:type="character" w:styleId="WW8Num5z0" w:customStyle="1">
    <w:name w:val="WW8Num5z0"/>
    <w:qFormat/>
    <w:rPr>
      <w:rFonts w:ascii="Liberation Serif;Times New Roma" w:hAnsi="Liberation Serif;Times New Roma" w:cs="Liberation Serif;Times New Roma"/>
      <w:b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7z0" w:customStyle="1">
    <w:name w:val="WW8Num7z0"/>
    <w:qFormat/>
    <w:rPr>
      <w:b/>
    </w:rPr>
  </w:style>
  <w:style w:type="character" w:styleId="WW8Num8z0" w:customStyle="1">
    <w:name w:val="WW8Num8z0"/>
    <w:qFormat/>
    <w:rPr>
      <w:lang w:eastAsia="pl-P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Domylnaczcionkaakapitu2" w:customStyle="1">
    <w:name w:val="Domyślna czcionka akapitu2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rFonts w:cs="Times New Roman"/>
    </w:rPr>
  </w:style>
  <w:style w:type="character" w:styleId="WW8Num11z1" w:customStyle="1">
    <w:name w:val="WW8Num11z1"/>
    <w:qFormat/>
    <w:rPr>
      <w:rFonts w:ascii="Symbol" w:hAnsi="Symbol" w:cs="Symbol"/>
    </w:rPr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cs="Times New Roman"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>
      <w:rFonts w:cs="Times New Roman"/>
    </w:rPr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6z0" w:customStyle="1">
    <w:name w:val="WW8Num16z0"/>
    <w:qFormat/>
    <w:rPr>
      <w:rFonts w:ascii="Symbol" w:hAnsi="Symbol" w:cs="Symbol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7z0" w:customStyle="1">
    <w:name w:val="WW8Num17z0"/>
    <w:qFormat/>
    <w:rPr>
      <w:b w:val="false"/>
    </w:rPr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b w:val="false"/>
      <w:color w:val="000000"/>
    </w:rPr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b w:val="false"/>
      <w:color w:val="000000"/>
      <w:sz w:val="24"/>
      <w:szCs w:val="24"/>
    </w:rPr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>
      <w:rFonts w:ascii="Wingdings" w:hAnsi="Wingdings" w:cs="Wingdings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3" w:customStyle="1">
    <w:name w:val="WW8Num21z3"/>
    <w:qFormat/>
    <w:rPr>
      <w:rFonts w:ascii="Symbol" w:hAnsi="Symbol" w:cs="Symbol"/>
    </w:rPr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>
      <w:rFonts w:cs="Times New Roman"/>
    </w:rPr>
  </w:style>
  <w:style w:type="character" w:styleId="WW8Num27z1" w:customStyle="1">
    <w:name w:val="WW8Num27z1"/>
    <w:qFormat/>
    <w:rPr>
      <w:rFonts w:cs="Times New Roman"/>
    </w:rPr>
  </w:style>
  <w:style w:type="character" w:styleId="WW8Num28z0" w:customStyle="1">
    <w:name w:val="WW8Num28z0"/>
    <w:qFormat/>
    <w:rPr>
      <w:rFonts w:ascii="Wingdings" w:hAnsi="Wingdings" w:cs="Wingdings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WW8Num29z0" w:customStyle="1">
    <w:name w:val="WW8Num29z0"/>
    <w:qFormat/>
    <w:rPr>
      <w:b/>
    </w:rPr>
  </w:style>
  <w:style w:type="character" w:styleId="WW8Num29z1" w:customStyle="1">
    <w:name w:val="WW8Num29z1"/>
    <w:qFormat/>
    <w:rPr>
      <w:rFonts w:ascii="Symbol" w:hAnsi="Symbol" w:cs="Symbol"/>
      <w:b/>
      <w:color w:val="000000"/>
    </w:rPr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>
      <w:b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b/>
      <w:color w:val="000000"/>
    </w:rPr>
  </w:style>
  <w:style w:type="character" w:styleId="WW8Num32z1" w:customStyle="1">
    <w:name w:val="WW8Num32z1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Domylnaczcionkaakapitu1" w:customStyle="1">
    <w:name w:val="Domyślna czcionka akapitu1"/>
    <w:qFormat/>
    <w:rPr/>
  </w:style>
  <w:style w:type="character" w:styleId="Mocnowyrniony" w:customStyle="1">
    <w:name w:val="Mocno wyróżniony"/>
    <w:qFormat/>
    <w:rPr>
      <w:b/>
      <w:bCs/>
    </w:rPr>
  </w:style>
  <w:style w:type="character" w:styleId="Wyrnienie" w:customStyle="1">
    <w:name w:val="Wyróżnienie"/>
    <w:qFormat/>
    <w:rPr>
      <w:i/>
      <w:iCs/>
    </w:rPr>
  </w:style>
  <w:style w:type="character" w:styleId="Numerstron" w:customStyle="1">
    <w:name w:val="Numer stron"/>
    <w:basedOn w:val="Domylnaczcionkaakapitu1"/>
    <w:rPr/>
  </w:style>
  <w:style w:type="character" w:styleId="ZnakZnak2" w:customStyle="1">
    <w:name w:val="Znak Znak2"/>
    <w:qFormat/>
    <w:rPr>
      <w:sz w:val="28"/>
    </w:rPr>
  </w:style>
  <w:style w:type="character" w:styleId="ZnakZnak1" w:customStyle="1">
    <w:name w:val="Znak Znak1"/>
    <w:qFormat/>
    <w:rPr>
      <w:sz w:val="16"/>
      <w:szCs w:val="16"/>
    </w:rPr>
  </w:style>
  <w:style w:type="character" w:styleId="ZnakZnak" w:customStyle="1">
    <w:name w:val="Znak Znak"/>
    <w:qFormat/>
    <w:rPr>
      <w:rFonts w:ascii="Segoe UI;Arial" w:hAnsi="Segoe UI;Arial" w:cs="Segoe UI;Arial"/>
      <w:sz w:val="18"/>
      <w:szCs w:val="18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Odwoaniedokomentarza1" w:customStyle="1">
    <w:name w:val="Odwołanie do komentarza1"/>
    <w:qFormat/>
    <w:rPr>
      <w:sz w:val="16"/>
      <w:szCs w:val="16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Czeinternetowe" w:customStyle="1">
    <w:name w:val="Łącze internetowe"/>
    <w:rPr>
      <w:color w:val="0000FF"/>
      <w:u w:val="single"/>
    </w:rPr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Znakiwypunktowania" w:customStyle="1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 w:customStyle="1">
    <w:name w:val="ListLabel 1"/>
    <w:qFormat/>
    <w:rPr>
      <w:rFonts w:eastAsia="Calibri"/>
      <w:b/>
    </w:rPr>
  </w:style>
  <w:style w:type="character" w:styleId="ListLabel2" w:customStyle="1">
    <w:name w:val="ListLabel 2"/>
    <w:qFormat/>
    <w:rPr>
      <w:b/>
      <w:sz w:val="24"/>
      <w:szCs w:val="24"/>
    </w:rPr>
  </w:style>
  <w:style w:type="character" w:styleId="ListLabel3" w:customStyle="1">
    <w:name w:val="ListLabel 3"/>
    <w:qFormat/>
    <w:rPr>
      <w:b/>
      <w:i w:val="false"/>
      <w:iCs w:val="false"/>
      <w:color w:val="000000"/>
      <w:sz w:val="24"/>
      <w:szCs w:val="24"/>
    </w:rPr>
  </w:style>
  <w:style w:type="character" w:styleId="ListLabel4" w:customStyle="1">
    <w:name w:val="ListLabel 4"/>
    <w:qFormat/>
    <w:rPr>
      <w:b/>
      <w:sz w:val="24"/>
      <w:szCs w:val="24"/>
    </w:rPr>
  </w:style>
  <w:style w:type="character" w:styleId="ListLabel5" w:customStyle="1">
    <w:name w:val="ListLabel 5"/>
    <w:qFormat/>
    <w:rPr>
      <w:b/>
      <w:sz w:val="24"/>
      <w:szCs w:val="24"/>
    </w:rPr>
  </w:style>
  <w:style w:type="character" w:styleId="ListLabel6" w:customStyle="1">
    <w:name w:val="ListLabel 6"/>
    <w:qFormat/>
    <w:rPr>
      <w:b/>
      <w:i w:val="false"/>
      <w:iCs w:val="false"/>
      <w:color w:val="000000"/>
      <w:sz w:val="24"/>
      <w:szCs w:val="24"/>
    </w:rPr>
  </w:style>
  <w:style w:type="character" w:styleId="ListLabel7" w:customStyle="1">
    <w:name w:val="ListLabel 7"/>
    <w:qFormat/>
    <w:rPr>
      <w:b/>
      <w:sz w:val="24"/>
      <w:szCs w:val="24"/>
    </w:rPr>
  </w:style>
  <w:style w:type="character" w:styleId="ListLabel8" w:customStyle="1">
    <w:name w:val="ListLabel 8"/>
    <w:qFormat/>
    <w:rPr>
      <w:b/>
      <w:sz w:val="24"/>
      <w:szCs w:val="24"/>
    </w:rPr>
  </w:style>
  <w:style w:type="character" w:styleId="ListLabel9" w:customStyle="1">
    <w:name w:val="ListLabel 9"/>
    <w:qFormat/>
    <w:rPr>
      <w:b/>
      <w:i w:val="false"/>
      <w:iCs w:val="false"/>
      <w:color w:val="000000"/>
      <w:sz w:val="24"/>
      <w:szCs w:val="24"/>
    </w:rPr>
  </w:style>
  <w:style w:type="character" w:styleId="ListLabel10" w:customStyle="1">
    <w:name w:val="ListLabel 10"/>
    <w:qFormat/>
    <w:rPr>
      <w:b/>
      <w:sz w:val="24"/>
      <w:szCs w:val="24"/>
    </w:rPr>
  </w:style>
  <w:style w:type="character" w:styleId="ListLabel11" w:customStyle="1">
    <w:name w:val="ListLabel 11"/>
    <w:qFormat/>
    <w:rPr>
      <w:b/>
      <w:sz w:val="24"/>
      <w:szCs w:val="24"/>
    </w:rPr>
  </w:style>
  <w:style w:type="character" w:styleId="ListLabel12" w:customStyle="1">
    <w:name w:val="ListLabel 12"/>
    <w:qFormat/>
    <w:rPr>
      <w:b/>
      <w:i w:val="false"/>
      <w:iCs w:val="false"/>
      <w:color w:val="000000"/>
      <w:sz w:val="24"/>
      <w:szCs w:val="24"/>
    </w:rPr>
  </w:style>
  <w:style w:type="character" w:styleId="ListLabel13" w:customStyle="1">
    <w:name w:val="ListLabel 13"/>
    <w:qFormat/>
    <w:rPr>
      <w:b/>
      <w:sz w:val="24"/>
      <w:szCs w:val="24"/>
    </w:rPr>
  </w:style>
  <w:style w:type="character" w:styleId="ListLabel14" w:customStyle="1">
    <w:name w:val="ListLabel 14"/>
    <w:qFormat/>
    <w:rPr>
      <w:b/>
      <w:sz w:val="24"/>
      <w:szCs w:val="24"/>
    </w:rPr>
  </w:style>
  <w:style w:type="character" w:styleId="ListLabel15" w:customStyle="1">
    <w:name w:val="ListLabel 15"/>
    <w:qFormat/>
    <w:rPr>
      <w:b/>
      <w:i w:val="false"/>
      <w:iCs w:val="false"/>
      <w:color w:val="000000"/>
      <w:sz w:val="24"/>
      <w:szCs w:val="24"/>
    </w:rPr>
  </w:style>
  <w:style w:type="character" w:styleId="ListLabel16" w:customStyle="1">
    <w:name w:val="ListLabel 16"/>
    <w:qFormat/>
    <w:rPr>
      <w:rFonts w:ascii="Times New Roman" w:hAnsi="Times New Roman"/>
      <w:b/>
      <w:sz w:val="24"/>
      <w:szCs w:val="24"/>
    </w:rPr>
  </w:style>
  <w:style w:type="character" w:styleId="ListLabel17" w:customStyle="1">
    <w:name w:val="ListLabel 17"/>
    <w:qFormat/>
    <w:rPr>
      <w:b/>
      <w:sz w:val="24"/>
      <w:szCs w:val="24"/>
    </w:rPr>
  </w:style>
  <w:style w:type="character" w:styleId="ListLabel18" w:customStyle="1">
    <w:name w:val="ListLabel 18"/>
    <w:qFormat/>
    <w:rPr>
      <w:b/>
      <w:i w:val="false"/>
      <w:iCs w:val="false"/>
      <w:color w:val="000000"/>
      <w:sz w:val="24"/>
      <w:szCs w:val="24"/>
    </w:rPr>
  </w:style>
  <w:style w:type="character" w:styleId="ListLabel19" w:customStyle="1">
    <w:name w:val="ListLabel 19"/>
    <w:qFormat/>
    <w:rPr>
      <w:rFonts w:ascii="Times New Roman" w:hAnsi="Times New Roman" w:cs="Symbol"/>
      <w:sz w:val="24"/>
    </w:rPr>
  </w:style>
  <w:style w:type="character" w:styleId="ListLabel20" w:customStyle="1">
    <w:name w:val="ListLabel 20"/>
    <w:qFormat/>
    <w:rPr>
      <w:rFonts w:ascii="Times New Roman" w:hAnsi="Times New Roman" w:cs="Times New Roman"/>
      <w:sz w:val="24"/>
    </w:rPr>
  </w:style>
  <w:style w:type="character" w:styleId="ListLabel21" w:customStyle="1">
    <w:name w:val="ListLabel 21"/>
    <w:qFormat/>
    <w:rPr>
      <w:rFonts w:ascii="Times New Roman" w:hAnsi="Times New Roman" w:cs="Times New Roman"/>
      <w:sz w:val="24"/>
    </w:rPr>
  </w:style>
  <w:style w:type="character" w:styleId="ListLabel22" w:customStyle="1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b/>
      <w:sz w:val="24"/>
      <w:szCs w:val="24"/>
    </w:rPr>
  </w:style>
  <w:style w:type="character" w:styleId="ListLabel24">
    <w:name w:val="ListLabel 24"/>
    <w:qFormat/>
    <w:rPr>
      <w:b/>
      <w:sz w:val="24"/>
      <w:szCs w:val="24"/>
    </w:rPr>
  </w:style>
  <w:style w:type="character" w:styleId="ListLabel25">
    <w:name w:val="ListLabel 25"/>
    <w:qFormat/>
    <w:rPr>
      <w:b/>
      <w:sz w:val="24"/>
      <w:szCs w:val="24"/>
    </w:rPr>
  </w:style>
  <w:style w:type="character" w:styleId="ListLabel26">
    <w:name w:val="ListLabel 26"/>
    <w:qFormat/>
    <w:rPr>
      <w:b/>
      <w:i w:val="false"/>
      <w:iCs w:val="false"/>
      <w:color w:val="000000"/>
      <w:sz w:val="24"/>
      <w:szCs w:val="24"/>
    </w:rPr>
  </w:style>
  <w:style w:type="character" w:styleId="ListLabel27">
    <w:name w:val="ListLabel 27"/>
    <w:qFormat/>
    <w:rPr>
      <w:rFonts w:cs="Symbol"/>
      <w:sz w:val="24"/>
    </w:rPr>
  </w:style>
  <w:style w:type="character" w:styleId="ListLabel28">
    <w:name w:val="ListLabel 28"/>
    <w:qFormat/>
    <w:rPr>
      <w:rFonts w:cs="Times New Roman"/>
      <w:sz w:val="24"/>
    </w:rPr>
  </w:style>
  <w:style w:type="character" w:styleId="ListLabel29">
    <w:name w:val="ListLabel 29"/>
    <w:qFormat/>
    <w:rPr>
      <w:rFonts w:cs="Times New Roman"/>
      <w:sz w:val="24"/>
    </w:rPr>
  </w:style>
  <w:style w:type="character" w:styleId="ListLabel30">
    <w:name w:val="ListLabel 30"/>
    <w:qFormat/>
    <w:rPr>
      <w:rFonts w:cs="Symbol"/>
      <w:sz w:val="24"/>
    </w:rPr>
  </w:style>
  <w:style w:type="character" w:styleId="ListLabel31">
    <w:name w:val="ListLabel 31"/>
    <w:qFormat/>
    <w:rPr>
      <w:b/>
      <w:i w:val="false"/>
      <w:iCs w:val="false"/>
      <w:color w:val="000000"/>
      <w:sz w:val="28"/>
      <w:szCs w:val="28"/>
    </w:rPr>
  </w:style>
  <w:style w:type="character" w:styleId="ListLabel32">
    <w:name w:val="ListLabel 32"/>
    <w:qFormat/>
    <w:rPr>
      <w:color w:val="00000A"/>
    </w:rPr>
  </w:style>
  <w:style w:type="character" w:styleId="ListLabel33">
    <w:name w:val="ListLabel 33"/>
    <w:qFormat/>
    <w:rPr>
      <w:color w:val="00000A"/>
      <w:sz w:val="24"/>
    </w:rPr>
  </w:style>
  <w:style w:type="character" w:styleId="ListLabel34">
    <w:name w:val="ListLabel 34"/>
    <w:qFormat/>
    <w:rPr>
      <w:b/>
      <w:sz w:val="24"/>
      <w:szCs w:val="24"/>
    </w:rPr>
  </w:style>
  <w:style w:type="character" w:styleId="ListLabel35">
    <w:name w:val="ListLabel 35"/>
    <w:qFormat/>
    <w:rPr>
      <w:b/>
      <w:sz w:val="24"/>
      <w:szCs w:val="24"/>
    </w:rPr>
  </w:style>
  <w:style w:type="character" w:styleId="ListLabel36">
    <w:name w:val="ListLabel 36"/>
    <w:qFormat/>
    <w:rPr>
      <w:color w:val="00000A"/>
      <w:sz w:val="24"/>
    </w:rPr>
  </w:style>
  <w:style w:type="character" w:styleId="ListLabel37">
    <w:name w:val="ListLabel 37"/>
    <w:qFormat/>
    <w:rPr>
      <w:b/>
      <w:sz w:val="24"/>
      <w:szCs w:val="24"/>
    </w:rPr>
  </w:style>
  <w:style w:type="character" w:styleId="ListLabel38">
    <w:name w:val="ListLabel 38"/>
    <w:qFormat/>
    <w:rPr>
      <w:b/>
      <w:sz w:val="24"/>
      <w:szCs w:val="24"/>
    </w:rPr>
  </w:style>
  <w:style w:type="character" w:styleId="ListLabel39">
    <w:name w:val="ListLabel 39"/>
    <w:qFormat/>
    <w:rPr>
      <w:color w:val="00000A"/>
      <w:sz w:val="24"/>
    </w:rPr>
  </w:style>
  <w:style w:type="character" w:styleId="ListLabel40">
    <w:name w:val="ListLabel 40"/>
    <w:qFormat/>
    <w:rPr>
      <w:b/>
      <w:sz w:val="24"/>
      <w:szCs w:val="24"/>
    </w:rPr>
  </w:style>
  <w:style w:type="character" w:styleId="ListLabel41">
    <w:name w:val="ListLabel 41"/>
    <w:qFormat/>
    <w:rPr>
      <w:b/>
      <w:sz w:val="24"/>
      <w:szCs w:val="24"/>
    </w:rPr>
  </w:style>
  <w:style w:type="character" w:styleId="ListLabel42">
    <w:name w:val="ListLabel 42"/>
    <w:qFormat/>
    <w:rPr>
      <w:b/>
      <w:sz w:val="24"/>
      <w:szCs w:val="24"/>
    </w:rPr>
  </w:style>
  <w:style w:type="character" w:styleId="ListLabel43">
    <w:name w:val="ListLabel 43"/>
    <w:qFormat/>
    <w:rPr>
      <w:b/>
      <w:sz w:val="24"/>
      <w:szCs w:val="24"/>
    </w:rPr>
  </w:style>
  <w:style w:type="character" w:styleId="ListLabel44">
    <w:name w:val="ListLabel 44"/>
    <w:qFormat/>
    <w:rPr>
      <w:b/>
      <w:sz w:val="24"/>
      <w:szCs w:val="24"/>
    </w:rPr>
  </w:style>
  <w:style w:type="character" w:styleId="ListLabel45">
    <w:name w:val="ListLabel 45"/>
    <w:qFormat/>
    <w:rPr>
      <w:b/>
      <w:sz w:val="24"/>
      <w:szCs w:val="24"/>
    </w:rPr>
  </w:style>
  <w:style w:type="character" w:styleId="ListLabel46">
    <w:name w:val="ListLabel 46"/>
    <w:qFormat/>
    <w:rPr>
      <w:b/>
      <w:sz w:val="24"/>
      <w:szCs w:val="24"/>
    </w:rPr>
  </w:style>
  <w:style w:type="character" w:styleId="ListLabel47">
    <w:name w:val="ListLabel 47"/>
    <w:qFormat/>
    <w:rPr>
      <w:b/>
      <w:sz w:val="24"/>
      <w:szCs w:val="24"/>
    </w:rPr>
  </w:style>
  <w:style w:type="character" w:styleId="ListLabel48">
    <w:name w:val="ListLabel 48"/>
    <w:qFormat/>
    <w:rPr>
      <w:b/>
      <w:sz w:val="24"/>
      <w:szCs w:val="24"/>
    </w:rPr>
  </w:style>
  <w:style w:type="character" w:styleId="ListLabel49">
    <w:name w:val="ListLabel 49"/>
    <w:qFormat/>
    <w:rPr>
      <w:b/>
      <w:sz w:val="24"/>
      <w:szCs w:val="24"/>
    </w:rPr>
  </w:style>
  <w:style w:type="character" w:styleId="ListLabel50">
    <w:name w:val="ListLabel 50"/>
    <w:qFormat/>
    <w:rPr>
      <w:b/>
      <w:sz w:val="24"/>
      <w:szCs w:val="24"/>
    </w:rPr>
  </w:style>
  <w:style w:type="character" w:styleId="ListLabel51">
    <w:name w:val="ListLabel 51"/>
    <w:qFormat/>
    <w:rPr>
      <w:b/>
      <w:sz w:val="24"/>
      <w:szCs w:val="24"/>
    </w:rPr>
  </w:style>
  <w:style w:type="character" w:styleId="ListLabel52">
    <w:name w:val="ListLabel 52"/>
    <w:qFormat/>
    <w:rPr>
      <w:b/>
      <w:sz w:val="24"/>
      <w:szCs w:val="24"/>
    </w:rPr>
  </w:style>
  <w:style w:type="character" w:styleId="ListLabel53">
    <w:name w:val="ListLabel 53"/>
    <w:qFormat/>
    <w:rPr>
      <w:b/>
      <w:sz w:val="24"/>
      <w:szCs w:val="24"/>
    </w:rPr>
  </w:style>
  <w:style w:type="character" w:styleId="Znakinumeracji">
    <w:name w:val="Znaki numeracji"/>
    <w:qFormat/>
    <w:rPr/>
  </w:style>
  <w:style w:type="character" w:styleId="ListLabel54">
    <w:name w:val="ListLabel 54"/>
    <w:qFormat/>
    <w:rPr>
      <w:b/>
      <w:sz w:val="24"/>
      <w:szCs w:val="24"/>
    </w:rPr>
  </w:style>
  <w:style w:type="character" w:styleId="ListLabel55">
    <w:name w:val="ListLabel 55"/>
    <w:qFormat/>
    <w:rPr>
      <w:b/>
      <w:sz w:val="24"/>
      <w:szCs w:val="24"/>
    </w:rPr>
  </w:style>
  <w:style w:type="character" w:styleId="ListLabel56">
    <w:name w:val="ListLabel 56"/>
    <w:qFormat/>
    <w:rPr>
      <w:b/>
      <w:sz w:val="24"/>
      <w:szCs w:val="24"/>
    </w:rPr>
  </w:style>
  <w:style w:type="character" w:styleId="ListLabel57">
    <w:name w:val="ListLabel 57"/>
    <w:qFormat/>
    <w:rPr>
      <w:b/>
      <w:sz w:val="24"/>
      <w:szCs w:val="24"/>
    </w:rPr>
  </w:style>
  <w:style w:type="character" w:styleId="ListLabel58">
    <w:name w:val="ListLabel 58"/>
    <w:qFormat/>
    <w:rPr>
      <w:b/>
      <w:sz w:val="24"/>
      <w:szCs w:val="24"/>
    </w:rPr>
  </w:style>
  <w:style w:type="character" w:styleId="ListLabel59">
    <w:name w:val="ListLabel 59"/>
    <w:qFormat/>
    <w:rPr>
      <w:b/>
      <w:sz w:val="24"/>
      <w:szCs w:val="24"/>
    </w:rPr>
  </w:style>
  <w:style w:type="character" w:styleId="ListLabel60">
    <w:name w:val="ListLabel 60"/>
    <w:qFormat/>
    <w:rPr>
      <w:b/>
      <w:sz w:val="24"/>
      <w:szCs w:val="24"/>
    </w:rPr>
  </w:style>
  <w:style w:type="character" w:styleId="ListLabel61">
    <w:name w:val="ListLabel 61"/>
    <w:qFormat/>
    <w:rPr>
      <w:b/>
      <w:sz w:val="24"/>
      <w:szCs w:val="24"/>
    </w:rPr>
  </w:style>
  <w:style w:type="character" w:styleId="ListLabel62">
    <w:name w:val="ListLabel 62"/>
    <w:qFormat/>
    <w:rPr>
      <w:b/>
      <w:sz w:val="24"/>
      <w:szCs w:val="24"/>
    </w:rPr>
  </w:style>
  <w:style w:type="character" w:styleId="ListLabel63">
    <w:name w:val="ListLabel 63"/>
    <w:qFormat/>
    <w:rPr>
      <w:b/>
      <w:sz w:val="24"/>
      <w:szCs w:val="24"/>
    </w:rPr>
  </w:style>
  <w:style w:type="character" w:styleId="ListLabel64">
    <w:name w:val="ListLabel 64"/>
    <w:qFormat/>
    <w:rPr>
      <w:b/>
      <w:sz w:val="24"/>
      <w:szCs w:val="24"/>
    </w:rPr>
  </w:style>
  <w:style w:type="character" w:styleId="ListLabel65">
    <w:name w:val="ListLabel 65"/>
    <w:qFormat/>
    <w:rPr>
      <w:b/>
      <w:sz w:val="24"/>
      <w:szCs w:val="24"/>
    </w:rPr>
  </w:style>
  <w:style w:type="character" w:styleId="ListLabel66">
    <w:name w:val="ListLabel 66"/>
    <w:qFormat/>
    <w:rPr>
      <w:b/>
      <w:sz w:val="24"/>
      <w:szCs w:val="24"/>
    </w:rPr>
  </w:style>
  <w:style w:type="character" w:styleId="ListLabel67">
    <w:name w:val="ListLabel 67"/>
    <w:qFormat/>
    <w:rPr>
      <w:b/>
      <w:sz w:val="24"/>
      <w:szCs w:val="24"/>
    </w:rPr>
  </w:style>
  <w:style w:type="character" w:styleId="ListLabel68">
    <w:name w:val="ListLabel 68"/>
    <w:qFormat/>
    <w:rPr>
      <w:b/>
      <w:sz w:val="24"/>
      <w:szCs w:val="24"/>
    </w:rPr>
  </w:style>
  <w:style w:type="character" w:styleId="ListLabel69">
    <w:name w:val="ListLabel 69"/>
    <w:qFormat/>
    <w:rPr>
      <w:b/>
      <w:sz w:val="24"/>
      <w:szCs w:val="24"/>
    </w:rPr>
  </w:style>
  <w:style w:type="character" w:styleId="ListLabel70">
    <w:name w:val="ListLabel 70"/>
    <w:qFormat/>
    <w:rPr>
      <w:b/>
      <w:sz w:val="24"/>
      <w:szCs w:val="24"/>
    </w:rPr>
  </w:style>
  <w:style w:type="character" w:styleId="ListLabel71">
    <w:name w:val="ListLabel 71"/>
    <w:qFormat/>
    <w:rPr>
      <w:b/>
      <w:sz w:val="24"/>
      <w:szCs w:val="24"/>
    </w:rPr>
  </w:style>
  <w:style w:type="character" w:styleId="ListLabel72">
    <w:name w:val="ListLabel 72"/>
    <w:qFormat/>
    <w:rPr>
      <w:b/>
      <w:sz w:val="24"/>
      <w:szCs w:val="24"/>
    </w:rPr>
  </w:style>
  <w:style w:type="character" w:styleId="ListLabel73">
    <w:name w:val="ListLabel 73"/>
    <w:qFormat/>
    <w:rPr>
      <w:b/>
      <w:sz w:val="24"/>
      <w:szCs w:val="24"/>
    </w:rPr>
  </w:style>
  <w:style w:type="character" w:styleId="ListLabel74">
    <w:name w:val="ListLabel 74"/>
    <w:qFormat/>
    <w:rPr>
      <w:b/>
      <w:sz w:val="24"/>
      <w:szCs w:val="24"/>
    </w:rPr>
  </w:style>
  <w:style w:type="character" w:styleId="ListLabel75">
    <w:name w:val="ListLabel 75"/>
    <w:qFormat/>
    <w:rPr>
      <w:b/>
      <w:sz w:val="24"/>
      <w:szCs w:val="24"/>
    </w:rPr>
  </w:style>
  <w:style w:type="character" w:styleId="ListLabel76">
    <w:name w:val="ListLabel 76"/>
    <w:qFormat/>
    <w:rPr>
      <w:b/>
      <w:sz w:val="24"/>
      <w:szCs w:val="24"/>
    </w:rPr>
  </w:style>
  <w:style w:type="character" w:styleId="ListLabel77">
    <w:name w:val="ListLabel 77"/>
    <w:qFormat/>
    <w:rPr>
      <w:b/>
      <w:sz w:val="24"/>
      <w:szCs w:val="24"/>
    </w:rPr>
  </w:style>
  <w:style w:type="character" w:styleId="ListLabel78">
    <w:name w:val="ListLabel 78"/>
    <w:qFormat/>
    <w:rPr>
      <w:b/>
      <w:sz w:val="24"/>
      <w:szCs w:val="24"/>
    </w:rPr>
  </w:style>
  <w:style w:type="character" w:styleId="ListLabel79">
    <w:name w:val="ListLabel 79"/>
    <w:qFormat/>
    <w:rPr>
      <w:b/>
      <w:sz w:val="24"/>
      <w:szCs w:val="24"/>
    </w:rPr>
  </w:style>
  <w:style w:type="character" w:styleId="ListLabel80">
    <w:name w:val="ListLabel 80"/>
    <w:qFormat/>
    <w:rPr>
      <w:b/>
      <w:sz w:val="24"/>
      <w:szCs w:val="24"/>
    </w:rPr>
  </w:style>
  <w:style w:type="character" w:styleId="ListLabel81">
    <w:name w:val="ListLabel 81"/>
    <w:qFormat/>
    <w:rPr>
      <w:b/>
      <w:sz w:val="24"/>
      <w:szCs w:val="24"/>
    </w:rPr>
  </w:style>
  <w:style w:type="character" w:styleId="ListLabel82">
    <w:name w:val="ListLabel 82"/>
    <w:qFormat/>
    <w:rPr>
      <w:b/>
      <w:sz w:val="24"/>
      <w:szCs w:val="24"/>
    </w:rPr>
  </w:style>
  <w:style w:type="character" w:styleId="ListLabel83">
    <w:name w:val="ListLabel 83"/>
    <w:qFormat/>
    <w:rPr>
      <w:b/>
      <w:sz w:val="24"/>
      <w:szCs w:val="24"/>
    </w:rPr>
  </w:style>
  <w:style w:type="character" w:styleId="ListLabel84">
    <w:name w:val="ListLabel 84"/>
    <w:qFormat/>
    <w:rPr>
      <w:b/>
      <w:sz w:val="24"/>
      <w:szCs w:val="24"/>
    </w:rPr>
  </w:style>
  <w:style w:type="character" w:styleId="ListLabel85">
    <w:name w:val="ListLabel 85"/>
    <w:qFormat/>
    <w:rPr>
      <w:b/>
      <w:sz w:val="24"/>
      <w:szCs w:val="24"/>
    </w:rPr>
  </w:style>
  <w:style w:type="character" w:styleId="ListLabel86">
    <w:name w:val="ListLabel 86"/>
    <w:qFormat/>
    <w:rPr>
      <w:b/>
      <w:sz w:val="24"/>
      <w:szCs w:val="24"/>
    </w:rPr>
  </w:style>
  <w:style w:type="character" w:styleId="ListLabel87">
    <w:name w:val="ListLabel 87"/>
    <w:qFormat/>
    <w:rPr>
      <w:b/>
      <w:sz w:val="24"/>
      <w:szCs w:val="24"/>
    </w:rPr>
  </w:style>
  <w:style w:type="character" w:styleId="ListLabel88">
    <w:name w:val="ListLabel 88"/>
    <w:qFormat/>
    <w:rPr>
      <w:b/>
      <w:sz w:val="24"/>
      <w:szCs w:val="24"/>
    </w:rPr>
  </w:style>
  <w:style w:type="character" w:styleId="ListLabel89">
    <w:name w:val="ListLabel 89"/>
    <w:qFormat/>
    <w:rPr>
      <w:b/>
      <w:sz w:val="24"/>
      <w:szCs w:val="24"/>
    </w:rPr>
  </w:style>
  <w:style w:type="character" w:styleId="ListLabel90">
    <w:name w:val="ListLabel 90"/>
    <w:qFormat/>
    <w:rPr>
      <w:b/>
      <w:sz w:val="24"/>
      <w:szCs w:val="24"/>
    </w:rPr>
  </w:style>
  <w:style w:type="character" w:styleId="ListLabel91">
    <w:name w:val="ListLabel 91"/>
    <w:qFormat/>
    <w:rPr>
      <w:b/>
      <w:sz w:val="24"/>
      <w:szCs w:val="24"/>
    </w:rPr>
  </w:style>
  <w:style w:type="character" w:styleId="ListLabel92">
    <w:name w:val="ListLabel 92"/>
    <w:qFormat/>
    <w:rPr>
      <w:b/>
      <w:sz w:val="24"/>
      <w:szCs w:val="24"/>
    </w:rPr>
  </w:style>
  <w:style w:type="character" w:styleId="ListLabel93">
    <w:name w:val="ListLabel 93"/>
    <w:qFormat/>
    <w:rPr>
      <w:b/>
      <w:sz w:val="24"/>
      <w:szCs w:val="24"/>
    </w:rPr>
  </w:style>
  <w:style w:type="character" w:styleId="ListLabel94">
    <w:name w:val="ListLabel 94"/>
    <w:qFormat/>
    <w:rPr>
      <w:b/>
      <w:sz w:val="24"/>
      <w:szCs w:val="24"/>
    </w:rPr>
  </w:style>
  <w:style w:type="character" w:styleId="ListLabel95">
    <w:name w:val="ListLabel 95"/>
    <w:qFormat/>
    <w:rPr>
      <w:b/>
      <w:sz w:val="24"/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2" w:customStyle="1">
    <w:name w:val="Nagłówek2"/>
    <w:basedOn w:val="Normal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Nagwek11" w:customStyle="1">
    <w:name w:val="Nagłówek1"/>
    <w:basedOn w:val="Normal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cicietrecitekstu">
    <w:name w:val="Body Text Indent"/>
    <w:basedOn w:val="Normal"/>
    <w:pPr>
      <w:ind w:left="708" w:hanging="0"/>
      <w:jc w:val="both"/>
    </w:pPr>
    <w:rPr>
      <w:sz w:val="28"/>
    </w:rPr>
  </w:style>
  <w:style w:type="paragraph" w:styleId="Tekstpodstawowy31" w:customStyle="1">
    <w:name w:val="Tekst podstawowy 31"/>
    <w:basedOn w:val="Normal"/>
    <w:qFormat/>
    <w:pPr/>
    <w:rPr>
      <w:b/>
      <w:i/>
      <w:sz w:val="28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kstpodstawowywcity31" w:customStyle="1">
    <w:name w:val="Tekst podstawowy wcięty 31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/>
    <w:rPr>
      <w:rFonts w:ascii="Segoe UI;Arial" w:hAnsi="Segoe UI;Arial" w:cs="Segoe UI;Arial"/>
      <w:sz w:val="18"/>
      <w:szCs w:val="18"/>
    </w:rPr>
  </w:style>
  <w:style w:type="paragraph" w:styleId="Domy" w:customStyle="1">
    <w:name w:val="Domy"/>
    <w:qFormat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pl-PL" w:eastAsia="zh-CN" w:bidi="ar-SA"/>
    </w:rPr>
  </w:style>
  <w:style w:type="paragraph" w:styleId="Przypisdolny">
    <w:name w:val="Footnote Text"/>
    <w:basedOn w:val="Normal"/>
    <w:qFormat/>
    <w:pPr/>
    <w:rPr/>
  </w:style>
  <w:style w:type="paragraph" w:styleId="Default" w:customStyle="1">
    <w:name w:val="Default"/>
    <w:qFormat/>
    <w:pPr>
      <w:widowControl/>
      <w:suppressAutoHyphens w:val="true"/>
      <w:bidi w:val="0"/>
      <w:jc w:val="left"/>
    </w:pPr>
    <w:rPr>
      <w:rFonts w:ascii="HEKOFD+TimesNewRomanPSMT;Times" w:hAnsi="HEKOFD+TimesNewRomanPSMT;Times" w:eastAsia="Times New Roman" w:cs="HEKOFD+TimesNewRomanPSMT;Times"/>
      <w:color w:val="000000"/>
      <w:sz w:val="20"/>
      <w:szCs w:val="24"/>
      <w:lang w:val="pl-PL" w:eastAsia="zh-CN" w:bidi="ar-SA"/>
    </w:rPr>
  </w:style>
  <w:style w:type="paragraph" w:styleId="Tekstkomentarza1" w:customStyle="1">
    <w:name w:val="Tekst komentarza1"/>
    <w:basedOn w:val="Normal"/>
    <w:qFormat/>
    <w:pPr/>
    <w:rPr/>
  </w:style>
  <w:style w:type="paragraph" w:styleId="Annotationsubject">
    <w:name w:val="annotation subject"/>
    <w:basedOn w:val="Tekstkomentarza1"/>
    <w:qFormat/>
    <w:pPr/>
    <w:rPr>
      <w:b/>
      <w:bCs/>
    </w:rPr>
  </w:style>
  <w:style w:type="paragraph" w:styleId="EndnoteSymbol" w:customStyle="1">
    <w:name w:val="Endnote Symbol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sz w:val="24"/>
    </w:rPr>
  </w:style>
  <w:style w:type="paragraph" w:styleId="Domynie" w:customStyle="1">
    <w:name w:val="Domy徑nie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sz w:val="22"/>
      <w:szCs w:val="22"/>
      <w:lang w:val="pl-PL" w:eastAsia="zh-CN" w:bidi="hi-IN"/>
    </w:rPr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6" w:customStyle="1">
    <w:name w:val="WW8Num6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4" w:customStyle="1">
    <w:name w:val="WW8Num14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Application>LibreOffice/5.1.3.2$Windows_x86 LibreOffice_project/644e4637d1d8544fd9f56425bd6cec110e49301b</Application>
  <Pages>7</Pages>
  <Words>1679</Words>
  <Characters>10221</Characters>
  <CharactersWithSpaces>11919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2016-06-10T07:39:00Z</dcterms:created>
  <dc:creator>uglw</dc:creator>
  <dc:description/>
  <dc:language>pl-PL</dc:language>
  <cp:lastModifiedBy/>
  <dcterms:modified xsi:type="dcterms:W3CDTF">2018-12-07T09:35:20Z</dcterms:modified>
  <cp:revision>252</cp:revision>
  <dc:subject/>
  <dc:title>Protokół Nr IV/15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