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AB9B" w14:textId="77777777" w:rsidR="0098694B" w:rsidRPr="00FC6866" w:rsidRDefault="0098694B" w:rsidP="0098694B">
      <w:pPr>
        <w:jc w:val="center"/>
        <w:rPr>
          <w:b/>
          <w:color w:val="auto"/>
          <w:sz w:val="56"/>
          <w:szCs w:val="56"/>
        </w:rPr>
      </w:pPr>
      <w:r w:rsidRPr="00FC6866">
        <w:rPr>
          <w:b/>
          <w:color w:val="auto"/>
          <w:sz w:val="56"/>
          <w:szCs w:val="56"/>
        </w:rPr>
        <w:t>ZAWIADOMIENIE</w:t>
      </w:r>
    </w:p>
    <w:p w14:paraId="10FF2BA8" w14:textId="77777777" w:rsidR="0098694B" w:rsidRPr="00FC6866" w:rsidRDefault="0098694B" w:rsidP="0098694B">
      <w:pPr>
        <w:spacing w:line="276" w:lineRule="auto"/>
        <w:ind w:left="240" w:hanging="240"/>
        <w:jc w:val="center"/>
        <w:rPr>
          <w:color w:val="auto"/>
          <w:sz w:val="36"/>
          <w:szCs w:val="36"/>
        </w:rPr>
      </w:pPr>
      <w:r w:rsidRPr="00FC6866">
        <w:rPr>
          <w:b/>
          <w:color w:val="auto"/>
          <w:sz w:val="36"/>
          <w:szCs w:val="36"/>
          <w:u w:val="single"/>
        </w:rPr>
        <w:t>W dniu 24 listopada 2023 r. (piątek), o godz. 11</w:t>
      </w:r>
      <w:r w:rsidRPr="00FC6866">
        <w:rPr>
          <w:b/>
          <w:color w:val="auto"/>
          <w:sz w:val="36"/>
          <w:szCs w:val="36"/>
          <w:u w:val="single"/>
          <w:vertAlign w:val="superscript"/>
        </w:rPr>
        <w:t>00</w:t>
      </w:r>
    </w:p>
    <w:p w14:paraId="283A9769" w14:textId="77777777" w:rsidR="0098694B" w:rsidRPr="00FC6866" w:rsidRDefault="0098694B" w:rsidP="0098694B">
      <w:pPr>
        <w:spacing w:line="276" w:lineRule="auto"/>
        <w:ind w:left="238" w:hanging="238"/>
        <w:jc w:val="center"/>
        <w:rPr>
          <w:b/>
          <w:color w:val="auto"/>
          <w:sz w:val="28"/>
          <w:szCs w:val="28"/>
        </w:rPr>
      </w:pPr>
      <w:r w:rsidRPr="00FC6866">
        <w:rPr>
          <w:b/>
          <w:color w:val="auto"/>
          <w:sz w:val="28"/>
          <w:szCs w:val="28"/>
        </w:rPr>
        <w:t>w Gminnym Centrum Kultury w Pilniku,</w:t>
      </w:r>
    </w:p>
    <w:p w14:paraId="6ACF66A4" w14:textId="77777777" w:rsidR="0098694B" w:rsidRPr="00FC6866" w:rsidRDefault="0098694B" w:rsidP="0098694B">
      <w:pPr>
        <w:spacing w:line="276" w:lineRule="auto"/>
        <w:ind w:left="238" w:hanging="238"/>
        <w:jc w:val="center"/>
        <w:rPr>
          <w:color w:val="auto"/>
          <w:sz w:val="28"/>
          <w:szCs w:val="28"/>
        </w:rPr>
      </w:pPr>
      <w:r w:rsidRPr="00FC6866">
        <w:rPr>
          <w:b/>
          <w:color w:val="auto"/>
          <w:sz w:val="28"/>
          <w:szCs w:val="28"/>
        </w:rPr>
        <w:t>odbędzie się</w:t>
      </w:r>
    </w:p>
    <w:p w14:paraId="31A19711" w14:textId="77777777" w:rsidR="0098694B" w:rsidRDefault="0098694B" w:rsidP="0098694B">
      <w:pPr>
        <w:spacing w:line="276" w:lineRule="auto"/>
        <w:ind w:left="238" w:hanging="238"/>
        <w:jc w:val="center"/>
        <w:rPr>
          <w:b/>
          <w:color w:val="auto"/>
          <w:sz w:val="28"/>
          <w:szCs w:val="28"/>
        </w:rPr>
      </w:pPr>
      <w:r w:rsidRPr="00FC6866">
        <w:rPr>
          <w:b/>
          <w:color w:val="auto"/>
          <w:sz w:val="28"/>
          <w:szCs w:val="28"/>
        </w:rPr>
        <w:t>pięćdziesiąta ósma sesja RADY GMINY LIDZBARK WARMIŃSKI</w:t>
      </w:r>
    </w:p>
    <w:p w14:paraId="1F2D39D3" w14:textId="77777777" w:rsidR="0098694B" w:rsidRPr="00FC6866" w:rsidRDefault="0098694B" w:rsidP="0098694B">
      <w:pPr>
        <w:spacing w:line="276" w:lineRule="auto"/>
        <w:ind w:left="238" w:hanging="238"/>
        <w:jc w:val="center"/>
        <w:rPr>
          <w:b/>
          <w:color w:val="auto"/>
          <w:sz w:val="16"/>
          <w:szCs w:val="16"/>
        </w:rPr>
      </w:pPr>
    </w:p>
    <w:p w14:paraId="2510148B" w14:textId="77777777" w:rsidR="0098694B" w:rsidRPr="00C2799C" w:rsidRDefault="0098694B" w:rsidP="0098694B">
      <w:pPr>
        <w:spacing w:after="120"/>
        <w:jc w:val="center"/>
        <w:rPr>
          <w:i/>
          <w:u w:val="single"/>
        </w:rPr>
      </w:pPr>
      <w:r w:rsidRPr="00C2799C">
        <w:rPr>
          <w:i/>
          <w:u w:val="single"/>
        </w:rPr>
        <w:t>Projekt porządku obrad przewiduje:</w:t>
      </w:r>
    </w:p>
    <w:p w14:paraId="74F0D782" w14:textId="77777777" w:rsidR="0098694B" w:rsidRPr="00FC6866" w:rsidRDefault="0098694B" w:rsidP="0098694B">
      <w:pPr>
        <w:numPr>
          <w:ilvl w:val="0"/>
          <w:numId w:val="1"/>
        </w:numPr>
        <w:tabs>
          <w:tab w:val="left" w:pos="286"/>
        </w:tabs>
        <w:spacing w:line="276" w:lineRule="auto"/>
        <w:ind w:left="538" w:hanging="357"/>
        <w:jc w:val="both"/>
        <w:rPr>
          <w:sz w:val="36"/>
          <w:szCs w:val="36"/>
        </w:rPr>
      </w:pPr>
      <w:r w:rsidRPr="00FC6866">
        <w:rPr>
          <w:sz w:val="36"/>
          <w:szCs w:val="36"/>
        </w:rPr>
        <w:t xml:space="preserve">Projekt uchwały </w:t>
      </w:r>
      <w:r w:rsidRPr="00FC6866">
        <w:rPr>
          <w:color w:val="auto"/>
          <w:sz w:val="36"/>
          <w:szCs w:val="36"/>
          <w:lang w:eastAsia="pl-PL" w:bidi="hi-IN"/>
        </w:rPr>
        <w:t>w sprawie wprowadzenia zmian w Wieloletniej Prognozie Finansowej Gminy Lidzbark Warmiński na lata 2023-2037.</w:t>
      </w:r>
    </w:p>
    <w:p w14:paraId="56888D36" w14:textId="77777777" w:rsidR="0098694B" w:rsidRPr="00FC6866" w:rsidRDefault="0098694B" w:rsidP="0098694B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sz w:val="36"/>
          <w:szCs w:val="36"/>
        </w:rPr>
      </w:pPr>
      <w:r w:rsidRPr="00FC6866">
        <w:rPr>
          <w:sz w:val="36"/>
          <w:szCs w:val="36"/>
        </w:rPr>
        <w:t xml:space="preserve">Projekt uchwały </w:t>
      </w:r>
      <w:r w:rsidRPr="00FC6866">
        <w:rPr>
          <w:color w:val="auto"/>
          <w:sz w:val="36"/>
          <w:szCs w:val="36"/>
        </w:rPr>
        <w:t>w sprawie wprowadzenia zmian w budżecie gminy Lidzbark Warmiński na 2023 r.</w:t>
      </w:r>
    </w:p>
    <w:p w14:paraId="4F9E3B8A" w14:textId="77777777" w:rsidR="0098694B" w:rsidRPr="00FC6866" w:rsidRDefault="0098694B" w:rsidP="009869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36"/>
          <w:szCs w:val="36"/>
        </w:rPr>
      </w:pPr>
      <w:r w:rsidRPr="00FC6866">
        <w:rPr>
          <w:sz w:val="36"/>
          <w:szCs w:val="36"/>
        </w:rPr>
        <w:t>Projekt uchwały w sprawie uchwalenia „Rocznego programu współpracy Gminy Lidzbark Warmiński z organizacjami pozarządowymi oraz podmiotami wymienionymi w art. 3 ust. 3 ustawy o działalności pożytku publicznego i o wolontariacie na 2024 rok”</w:t>
      </w:r>
    </w:p>
    <w:p w14:paraId="045EFEB2" w14:textId="77777777" w:rsidR="0098694B" w:rsidRPr="00FC6866" w:rsidRDefault="0098694B" w:rsidP="0098694B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sz w:val="36"/>
          <w:szCs w:val="36"/>
        </w:rPr>
      </w:pPr>
      <w:r w:rsidRPr="00FC6866">
        <w:rPr>
          <w:sz w:val="36"/>
          <w:szCs w:val="36"/>
        </w:rPr>
        <w:t>Projekt uchwały w sprawie ustanowienia wieloletniego gminnego programu osłonowego „Posiłek w szkole i w domu” na lata 2024-2028.</w:t>
      </w:r>
    </w:p>
    <w:p w14:paraId="4B5D92CF" w14:textId="77777777" w:rsidR="0098694B" w:rsidRPr="00FC6866" w:rsidRDefault="0098694B" w:rsidP="0098694B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sz w:val="36"/>
          <w:szCs w:val="36"/>
        </w:rPr>
      </w:pPr>
      <w:r w:rsidRPr="00FC6866">
        <w:rPr>
          <w:sz w:val="36"/>
          <w:szCs w:val="36"/>
        </w:rPr>
        <w:t xml:space="preserve">Projekt uchwały w sprawie podwyższenia kryterium dochodowego uprawniającego do przyznawania nieodpłatnej pomocy w formie posiłku, świadczenia pieniężnego na zakup posiłku lub żywności, świadczenia rzeczowego w postaci produktów żywnościowych dla osób objętych wieloletnim rządowym programem „Posiłek w szkole i w domu” na lata 2024-2028. </w:t>
      </w:r>
    </w:p>
    <w:p w14:paraId="5FD5E61D" w14:textId="77777777" w:rsidR="0098694B" w:rsidRPr="00FC6866" w:rsidRDefault="0098694B" w:rsidP="0098694B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sz w:val="36"/>
          <w:szCs w:val="36"/>
        </w:rPr>
      </w:pPr>
      <w:r w:rsidRPr="00FC6866">
        <w:rPr>
          <w:sz w:val="36"/>
          <w:szCs w:val="36"/>
        </w:rPr>
        <w:t xml:space="preserve">Projekt uchwały w sprawie określenia zasad zwrotu wydatków w formie posiłku, świadczenia pieniężnego na zakup posiłku lub żywności albo świadczenia rzeczowego w postaci produktów żywnościowych dla osób objętych wieloletnim rządowym programem „Posiłek w szkole i w domu” na lata 2024-2028. </w:t>
      </w:r>
    </w:p>
    <w:p w14:paraId="2BE9DB5A" w14:textId="77777777" w:rsidR="0098694B" w:rsidRPr="00FC6866" w:rsidRDefault="0098694B" w:rsidP="0098694B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sz w:val="36"/>
          <w:szCs w:val="36"/>
        </w:rPr>
      </w:pPr>
      <w:r w:rsidRPr="00FC6866">
        <w:rPr>
          <w:sz w:val="36"/>
          <w:szCs w:val="36"/>
        </w:rPr>
        <w:t>Projekt uchwały w sprawie usług opiekuńczych.</w:t>
      </w:r>
    </w:p>
    <w:p w14:paraId="4590C5FD" w14:textId="77777777" w:rsidR="0098694B" w:rsidRPr="00FC6866" w:rsidRDefault="0098694B" w:rsidP="0098694B">
      <w:pPr>
        <w:pStyle w:val="Akapitzlist"/>
        <w:numPr>
          <w:ilvl w:val="0"/>
          <w:numId w:val="1"/>
        </w:numPr>
        <w:spacing w:after="240" w:line="276" w:lineRule="auto"/>
        <w:jc w:val="both"/>
        <w:rPr>
          <w:sz w:val="36"/>
          <w:szCs w:val="36"/>
        </w:rPr>
      </w:pPr>
      <w:bookmarkStart w:id="0" w:name="_Hlk151122863"/>
      <w:r w:rsidRPr="00FC6866">
        <w:rPr>
          <w:sz w:val="36"/>
          <w:szCs w:val="36"/>
        </w:rPr>
        <w:t xml:space="preserve">Projekt uchwały w sprawie zaliczenia drogi do kategorii dróg gminnych </w:t>
      </w:r>
      <w:bookmarkEnd w:id="0"/>
      <w:r w:rsidRPr="00FC6866">
        <w:rPr>
          <w:sz w:val="36"/>
          <w:szCs w:val="36"/>
        </w:rPr>
        <w:t>(DK51 Markajmy-Marków)</w:t>
      </w:r>
    </w:p>
    <w:p w14:paraId="5E0860E3" w14:textId="77777777" w:rsidR="0098694B" w:rsidRPr="00FC6866" w:rsidRDefault="0098694B" w:rsidP="0098694B">
      <w:pPr>
        <w:pStyle w:val="Akapitzlist"/>
        <w:numPr>
          <w:ilvl w:val="0"/>
          <w:numId w:val="1"/>
        </w:numPr>
        <w:spacing w:after="240" w:line="276" w:lineRule="auto"/>
        <w:jc w:val="both"/>
        <w:rPr>
          <w:sz w:val="36"/>
          <w:szCs w:val="36"/>
        </w:rPr>
      </w:pPr>
      <w:r w:rsidRPr="00FC6866">
        <w:rPr>
          <w:sz w:val="36"/>
          <w:szCs w:val="36"/>
        </w:rPr>
        <w:t>Projekt uchwały w sprawie zaliczenia drogi do kategorii dróg gminnych (</w:t>
      </w:r>
      <w:proofErr w:type="spellStart"/>
      <w:r w:rsidRPr="00FC6866">
        <w:rPr>
          <w:sz w:val="36"/>
          <w:szCs w:val="36"/>
        </w:rPr>
        <w:t>Rogóż</w:t>
      </w:r>
      <w:proofErr w:type="spellEnd"/>
      <w:r w:rsidRPr="00FC6866">
        <w:rPr>
          <w:sz w:val="36"/>
          <w:szCs w:val="36"/>
        </w:rPr>
        <w:t xml:space="preserve"> dz.338/2).</w:t>
      </w:r>
    </w:p>
    <w:p w14:paraId="0279C67A" w14:textId="77777777" w:rsidR="0098694B" w:rsidRPr="00FC6866" w:rsidRDefault="0098694B" w:rsidP="0098694B">
      <w:pPr>
        <w:pStyle w:val="Akapitzlist"/>
        <w:numPr>
          <w:ilvl w:val="0"/>
          <w:numId w:val="1"/>
        </w:numPr>
        <w:spacing w:after="240" w:line="276" w:lineRule="auto"/>
        <w:jc w:val="both"/>
        <w:rPr>
          <w:sz w:val="36"/>
          <w:szCs w:val="36"/>
        </w:rPr>
      </w:pPr>
      <w:r w:rsidRPr="00FC6866">
        <w:rPr>
          <w:sz w:val="36"/>
          <w:szCs w:val="36"/>
        </w:rPr>
        <w:t>Projekt uchwały w sprawie zaliczenia drogi do kategorii dróg gminnych (</w:t>
      </w:r>
      <w:proofErr w:type="spellStart"/>
      <w:r w:rsidRPr="00FC6866">
        <w:rPr>
          <w:sz w:val="36"/>
          <w:szCs w:val="36"/>
        </w:rPr>
        <w:t>Rogóż</w:t>
      </w:r>
      <w:proofErr w:type="spellEnd"/>
      <w:r w:rsidRPr="00FC6866">
        <w:rPr>
          <w:sz w:val="36"/>
          <w:szCs w:val="36"/>
        </w:rPr>
        <w:t>, dz. 375/1).</w:t>
      </w:r>
    </w:p>
    <w:p w14:paraId="14BFD9EA" w14:textId="77777777" w:rsidR="0098694B" w:rsidRPr="00FC6866" w:rsidRDefault="0098694B" w:rsidP="0098694B">
      <w:pPr>
        <w:pStyle w:val="Akapitzlist"/>
        <w:numPr>
          <w:ilvl w:val="0"/>
          <w:numId w:val="1"/>
        </w:numPr>
        <w:spacing w:line="276" w:lineRule="auto"/>
        <w:ind w:left="538" w:hanging="357"/>
        <w:jc w:val="both"/>
        <w:rPr>
          <w:sz w:val="36"/>
          <w:szCs w:val="36"/>
        </w:rPr>
      </w:pPr>
      <w:r w:rsidRPr="00FC6866">
        <w:rPr>
          <w:sz w:val="36"/>
          <w:szCs w:val="36"/>
        </w:rPr>
        <w:t>Projekt uchwały w sprawie zaliczenia drogi do kategorii dróg gminnych (</w:t>
      </w:r>
      <w:proofErr w:type="spellStart"/>
      <w:r w:rsidRPr="00FC6866">
        <w:rPr>
          <w:sz w:val="36"/>
          <w:szCs w:val="36"/>
        </w:rPr>
        <w:t>Rogóż</w:t>
      </w:r>
      <w:proofErr w:type="spellEnd"/>
      <w:r w:rsidRPr="00FC6866">
        <w:rPr>
          <w:sz w:val="36"/>
          <w:szCs w:val="36"/>
        </w:rPr>
        <w:t>, dz.377 i 361).</w:t>
      </w:r>
    </w:p>
    <w:p w14:paraId="1F17A434" w14:textId="77777777" w:rsidR="0098694B" w:rsidRPr="00FC6866" w:rsidRDefault="0098694B" w:rsidP="0098694B">
      <w:pPr>
        <w:numPr>
          <w:ilvl w:val="0"/>
          <w:numId w:val="1"/>
        </w:numPr>
        <w:tabs>
          <w:tab w:val="left" w:pos="286"/>
        </w:tabs>
        <w:spacing w:line="276" w:lineRule="auto"/>
        <w:ind w:left="538" w:hanging="357"/>
        <w:jc w:val="both"/>
        <w:rPr>
          <w:sz w:val="36"/>
          <w:szCs w:val="36"/>
        </w:rPr>
      </w:pPr>
      <w:r w:rsidRPr="00FC6866">
        <w:rPr>
          <w:sz w:val="36"/>
          <w:szCs w:val="36"/>
        </w:rPr>
        <w:t>Projekt uchwały w sprawie przystąpienia do sporządzenia miejscowego planu zagospodarowania przestrzennego gminy Lidzbark Warmiński w obrębie geodezyjnym Wielochowo (część wschodnia).</w:t>
      </w:r>
    </w:p>
    <w:p w14:paraId="6903203A" w14:textId="77777777" w:rsidR="0098694B" w:rsidRPr="00FC6866" w:rsidRDefault="0098694B" w:rsidP="0098694B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sz w:val="36"/>
          <w:szCs w:val="36"/>
        </w:rPr>
      </w:pPr>
      <w:r w:rsidRPr="00FC6866">
        <w:rPr>
          <w:sz w:val="36"/>
          <w:szCs w:val="36"/>
        </w:rPr>
        <w:t>Projekt uchwały w sprawie sprzedaży w trybie bezprzetargowym nieruchomości stanowiącej własność Gminy Lidzbark Warmiński na poprawę warunków zagospodarowania nieruchomości przyległej: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</w:t>
      </w:r>
      <w:r w:rsidRPr="00FC6866">
        <w:rPr>
          <w:i/>
          <w:iCs/>
          <w:sz w:val="36"/>
          <w:szCs w:val="36"/>
        </w:rPr>
        <w:t>-Blanki nr działek: 176/45</w:t>
      </w:r>
    </w:p>
    <w:p w14:paraId="37F839E5" w14:textId="77777777" w:rsidR="0098694B" w:rsidRPr="00FC6866" w:rsidRDefault="0098694B" w:rsidP="0098694B">
      <w:pPr>
        <w:tabs>
          <w:tab w:val="left" w:pos="286"/>
        </w:tabs>
        <w:spacing w:line="276" w:lineRule="auto"/>
        <w:ind w:left="540"/>
        <w:jc w:val="center"/>
        <w:rPr>
          <w:i/>
          <w:iCs/>
          <w:sz w:val="36"/>
          <w:szCs w:val="36"/>
        </w:rPr>
      </w:pPr>
      <w:r w:rsidRPr="00FC6866">
        <w:rPr>
          <w:i/>
          <w:iCs/>
          <w:sz w:val="36"/>
          <w:szCs w:val="36"/>
        </w:rPr>
        <w:t>-Blanki nr działek: 176/46</w:t>
      </w:r>
    </w:p>
    <w:p w14:paraId="48D1E473" w14:textId="77777777" w:rsidR="0098694B" w:rsidRPr="00FC6866" w:rsidRDefault="0098694B" w:rsidP="0098694B">
      <w:pPr>
        <w:tabs>
          <w:tab w:val="left" w:pos="286"/>
        </w:tabs>
        <w:spacing w:line="276" w:lineRule="auto"/>
        <w:ind w:left="540"/>
        <w:jc w:val="center"/>
        <w:rPr>
          <w:i/>
          <w:iCs/>
          <w:sz w:val="36"/>
          <w:szCs w:val="36"/>
        </w:rPr>
      </w:pPr>
      <w:r w:rsidRPr="00FC6866">
        <w:rPr>
          <w:i/>
          <w:iCs/>
          <w:sz w:val="36"/>
          <w:szCs w:val="36"/>
        </w:rPr>
        <w:t>-Blanki nr działek: 176/47</w:t>
      </w:r>
    </w:p>
    <w:p w14:paraId="3735FCF3" w14:textId="77777777" w:rsidR="0098694B" w:rsidRPr="00FC6866" w:rsidRDefault="0098694B" w:rsidP="0098694B">
      <w:pPr>
        <w:tabs>
          <w:tab w:val="left" w:pos="286"/>
        </w:tabs>
        <w:spacing w:line="276" w:lineRule="auto"/>
        <w:ind w:left="540"/>
        <w:jc w:val="center"/>
        <w:rPr>
          <w:i/>
          <w:iCs/>
          <w:sz w:val="36"/>
          <w:szCs w:val="36"/>
        </w:rPr>
      </w:pPr>
      <w:r w:rsidRPr="00FC6866">
        <w:rPr>
          <w:i/>
          <w:iCs/>
          <w:sz w:val="36"/>
          <w:szCs w:val="36"/>
        </w:rPr>
        <w:t>-Blanki nr działek: 176/48</w:t>
      </w:r>
    </w:p>
    <w:p w14:paraId="2D35C2B5" w14:textId="77777777" w:rsidR="0098694B" w:rsidRPr="00FC6866" w:rsidRDefault="0098694B" w:rsidP="0098694B">
      <w:pPr>
        <w:tabs>
          <w:tab w:val="left" w:pos="286"/>
        </w:tabs>
        <w:spacing w:line="276" w:lineRule="auto"/>
        <w:ind w:left="540"/>
        <w:jc w:val="center"/>
        <w:rPr>
          <w:i/>
          <w:iCs/>
          <w:sz w:val="36"/>
          <w:szCs w:val="36"/>
        </w:rPr>
      </w:pPr>
      <w:r w:rsidRPr="00FC6866">
        <w:rPr>
          <w:i/>
          <w:iCs/>
          <w:sz w:val="36"/>
          <w:szCs w:val="36"/>
        </w:rPr>
        <w:t>-Blanki nr działek: 176/49</w:t>
      </w:r>
    </w:p>
    <w:p w14:paraId="027B57B9" w14:textId="77777777" w:rsidR="0098694B" w:rsidRPr="00FC6866" w:rsidRDefault="0098694B" w:rsidP="0098694B">
      <w:pPr>
        <w:tabs>
          <w:tab w:val="left" w:pos="286"/>
        </w:tabs>
        <w:spacing w:line="276" w:lineRule="auto"/>
        <w:ind w:left="540"/>
        <w:jc w:val="center"/>
        <w:rPr>
          <w:i/>
          <w:iCs/>
          <w:sz w:val="36"/>
          <w:szCs w:val="36"/>
        </w:rPr>
      </w:pPr>
      <w:r w:rsidRPr="00FC6866">
        <w:rPr>
          <w:i/>
          <w:iCs/>
          <w:sz w:val="36"/>
          <w:szCs w:val="36"/>
        </w:rPr>
        <w:t>-Blanki nr działek: 176/50</w:t>
      </w:r>
    </w:p>
    <w:p w14:paraId="50E11000" w14:textId="77777777" w:rsidR="0098694B" w:rsidRPr="00FC6866" w:rsidRDefault="0098694B" w:rsidP="0098694B">
      <w:pPr>
        <w:tabs>
          <w:tab w:val="left" w:pos="286"/>
        </w:tabs>
        <w:spacing w:after="120" w:line="276" w:lineRule="auto"/>
        <w:jc w:val="center"/>
        <w:rPr>
          <w:i/>
          <w:iCs/>
          <w:sz w:val="36"/>
          <w:szCs w:val="36"/>
        </w:rPr>
      </w:pPr>
      <w:r w:rsidRPr="00FC6866">
        <w:rPr>
          <w:i/>
          <w:iCs/>
          <w:sz w:val="36"/>
          <w:szCs w:val="36"/>
        </w:rPr>
        <w:t xml:space="preserve">      -Blanki nr działki: 176/51</w:t>
      </w:r>
    </w:p>
    <w:p w14:paraId="652FA7E4" w14:textId="77777777" w:rsidR="0098694B" w:rsidRPr="00FC6866" w:rsidRDefault="0098694B" w:rsidP="0098694B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sz w:val="36"/>
          <w:szCs w:val="36"/>
        </w:rPr>
      </w:pPr>
      <w:r w:rsidRPr="00FC6866">
        <w:rPr>
          <w:sz w:val="36"/>
          <w:szCs w:val="36"/>
        </w:rPr>
        <w:t>Wybór ławników do Sądu Rejonowego w Bartoszycach.</w:t>
      </w:r>
    </w:p>
    <w:p w14:paraId="0764638C" w14:textId="36055D30" w:rsidR="0098694B" w:rsidRDefault="0098694B" w:rsidP="0098694B">
      <w:pPr>
        <w:spacing w:line="276" w:lineRule="auto"/>
        <w:ind w:left="180"/>
        <w:contextualSpacing/>
        <w:jc w:val="both"/>
        <w:rPr>
          <w:sz w:val="36"/>
          <w:szCs w:val="36"/>
        </w:rPr>
      </w:pPr>
      <w:r w:rsidRPr="00FC6866">
        <w:rPr>
          <w:sz w:val="28"/>
          <w:szCs w:val="28"/>
        </w:rPr>
        <w:t>15</w:t>
      </w:r>
      <w:r w:rsidRPr="00FC6866">
        <w:rPr>
          <w:sz w:val="36"/>
          <w:szCs w:val="36"/>
        </w:rPr>
        <w:t>.Interpelacje i zapytania do Wójta oraz informacja z bieżącej działalności gminy.</w:t>
      </w:r>
    </w:p>
    <w:p w14:paraId="3FFC2E6C" w14:textId="77777777" w:rsidR="0098694B" w:rsidRDefault="0098694B" w:rsidP="0098694B">
      <w:pPr>
        <w:spacing w:line="276" w:lineRule="auto"/>
        <w:ind w:left="180"/>
        <w:contextualSpacing/>
        <w:jc w:val="both"/>
        <w:rPr>
          <w:sz w:val="36"/>
          <w:szCs w:val="36"/>
        </w:rPr>
      </w:pPr>
    </w:p>
    <w:p w14:paraId="2F140BA1" w14:textId="77777777" w:rsidR="0098694B" w:rsidRPr="0098694B" w:rsidRDefault="0098694B" w:rsidP="0098694B">
      <w:pPr>
        <w:spacing w:line="276" w:lineRule="auto"/>
        <w:ind w:left="180"/>
        <w:contextualSpacing/>
        <w:jc w:val="both"/>
        <w:rPr>
          <w:sz w:val="36"/>
          <w:szCs w:val="36"/>
        </w:rPr>
      </w:pPr>
    </w:p>
    <w:p w14:paraId="314BA6E9" w14:textId="77777777" w:rsidR="0098694B" w:rsidRPr="00FC6866" w:rsidRDefault="0098694B" w:rsidP="0098694B">
      <w:pPr>
        <w:tabs>
          <w:tab w:val="left" w:pos="286"/>
        </w:tabs>
        <w:spacing w:line="276" w:lineRule="auto"/>
        <w:ind w:left="540"/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6866">
        <w:rPr>
          <w:sz w:val="28"/>
          <w:szCs w:val="28"/>
        </w:rPr>
        <w:t>PRZEWODNICZĄCY RADY GMINY</w:t>
      </w:r>
    </w:p>
    <w:p w14:paraId="69975EAE" w14:textId="77777777" w:rsidR="0098694B" w:rsidRPr="0098694B" w:rsidRDefault="0098694B" w:rsidP="0098694B">
      <w:pPr>
        <w:tabs>
          <w:tab w:val="left" w:pos="286"/>
        </w:tabs>
        <w:spacing w:line="276" w:lineRule="auto"/>
        <w:ind w:left="540"/>
        <w:rPr>
          <w:i/>
          <w:sz w:val="28"/>
          <w:szCs w:val="28"/>
        </w:rPr>
      </w:pPr>
      <w:r w:rsidRPr="0098694B">
        <w:rPr>
          <w:i/>
          <w:sz w:val="28"/>
          <w:szCs w:val="28"/>
        </w:rPr>
        <w:t>Lidzbark Warmiński, dnia 20 listopada 2023 r.</w:t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</w:p>
    <w:p w14:paraId="3E4F1193" w14:textId="632489D9" w:rsidR="0098694B" w:rsidRPr="00FC6866" w:rsidRDefault="0098694B" w:rsidP="0098694B">
      <w:pPr>
        <w:tabs>
          <w:tab w:val="left" w:pos="286"/>
        </w:tabs>
        <w:spacing w:line="276" w:lineRule="auto"/>
        <w:ind w:left="540"/>
        <w:rPr>
          <w:sz w:val="28"/>
          <w:szCs w:val="28"/>
        </w:rPr>
      </w:pP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98694B">
        <w:rPr>
          <w:i/>
          <w:sz w:val="28"/>
          <w:szCs w:val="28"/>
        </w:rPr>
        <w:tab/>
      </w:r>
      <w:r w:rsidRPr="00FC6866">
        <w:rPr>
          <w:sz w:val="28"/>
          <w:szCs w:val="28"/>
        </w:rPr>
        <w:t xml:space="preserve">Marek </w:t>
      </w:r>
      <w:proofErr w:type="spellStart"/>
      <w:r w:rsidRPr="00FC6866">
        <w:rPr>
          <w:sz w:val="28"/>
          <w:szCs w:val="28"/>
        </w:rPr>
        <w:t>Werbicki</w:t>
      </w:r>
      <w:proofErr w:type="spellEnd"/>
    </w:p>
    <w:p w14:paraId="740E317B" w14:textId="77777777" w:rsidR="0098694B" w:rsidRDefault="0098694B"/>
    <w:sectPr w:rsidR="0098694B" w:rsidSect="0098694B">
      <w:pgSz w:w="16838" w:h="23811" w:code="8"/>
      <w:pgMar w:top="794" w:right="964" w:bottom="79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5B6A"/>
    <w:multiLevelType w:val="multilevel"/>
    <w:tmpl w:val="3640A1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0234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4B"/>
    <w:rsid w:val="001959FE"/>
    <w:rsid w:val="0098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C2A0"/>
  <w15:chartTrackingRefBased/>
  <w15:docId w15:val="{83CF0B83-64BD-4D42-B1A6-C7B2FF3F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94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Sztynio</dc:creator>
  <cp:keywords/>
  <dc:description/>
  <cp:lastModifiedBy>Katarzyna Sztynio</cp:lastModifiedBy>
  <cp:revision>1</cp:revision>
  <cp:lastPrinted>2023-11-20T13:07:00Z</cp:lastPrinted>
  <dcterms:created xsi:type="dcterms:W3CDTF">2023-11-20T10:58:00Z</dcterms:created>
  <dcterms:modified xsi:type="dcterms:W3CDTF">2023-11-20T13:08:00Z</dcterms:modified>
</cp:coreProperties>
</file>